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81" w:rightFromText="181" w:vertAnchor="page" w:tblpY="568"/>
        <w:tblOverlap w:val="never"/>
        <w:tblW w:w="99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2959"/>
      </w:tblGrid>
      <w:tr w:rsidR="000A53E2" w:rsidRPr="00C7097B" w:rsidTr="00736E09">
        <w:trPr>
          <w:trHeight w:hRule="exact" w:val="1167"/>
        </w:trPr>
        <w:tc>
          <w:tcPr>
            <w:tcW w:w="7020" w:type="dxa"/>
          </w:tcPr>
          <w:p w:rsidR="000A53E2" w:rsidRDefault="000A53E2" w:rsidP="00C91E9C"/>
        </w:tc>
        <w:tc>
          <w:tcPr>
            <w:tcW w:w="2959" w:type="dxa"/>
            <w:vMerge w:val="restart"/>
          </w:tcPr>
          <w:p w:rsidR="000A53E2" w:rsidRPr="005F2AAE" w:rsidRDefault="000A53E2" w:rsidP="00C7097B">
            <w:pPr>
              <w:pStyle w:val="Deloitteaddress"/>
              <w:jc w:val="right"/>
              <w:rPr>
                <w:lang w:val="es-419"/>
              </w:rPr>
            </w:pPr>
          </w:p>
        </w:tc>
      </w:tr>
      <w:tr w:rsidR="000A53E2" w:rsidRPr="00C7097B" w:rsidTr="00736E09">
        <w:trPr>
          <w:trHeight w:hRule="exact" w:val="737"/>
        </w:trPr>
        <w:tc>
          <w:tcPr>
            <w:tcW w:w="7020" w:type="dxa"/>
          </w:tcPr>
          <w:p w:rsidR="000A53E2" w:rsidRPr="00C6535C" w:rsidRDefault="000A53E2" w:rsidP="004854E2">
            <w:pPr>
              <w:rPr>
                <w:b/>
                <w:lang w:val="es-419"/>
              </w:rPr>
            </w:pPr>
          </w:p>
        </w:tc>
        <w:tc>
          <w:tcPr>
            <w:tcW w:w="2959" w:type="dxa"/>
            <w:vMerge/>
          </w:tcPr>
          <w:p w:rsidR="000A53E2" w:rsidRPr="00C6535C" w:rsidRDefault="000A53E2" w:rsidP="00C91E9C">
            <w:pPr>
              <w:rPr>
                <w:lang w:val="es-419"/>
              </w:rPr>
            </w:pPr>
          </w:p>
        </w:tc>
      </w:tr>
      <w:tr w:rsidR="000B4613" w:rsidRPr="000969E0" w:rsidTr="00736E09">
        <w:trPr>
          <w:trHeight w:val="1158"/>
        </w:trPr>
        <w:tc>
          <w:tcPr>
            <w:tcW w:w="7020" w:type="dxa"/>
          </w:tcPr>
          <w:p w:rsidR="000B4613" w:rsidRPr="005F2AAE" w:rsidRDefault="000B4613" w:rsidP="00C91E9C">
            <w:pPr>
              <w:rPr>
                <w:b/>
                <w:lang w:val="es-419"/>
              </w:rPr>
            </w:pPr>
            <w:r w:rsidRPr="005F2AAE">
              <w:rPr>
                <w:b/>
                <w:lang w:val="es-419"/>
              </w:rPr>
              <w:t>Contacto</w:t>
            </w:r>
          </w:p>
          <w:p w:rsidR="000B4613" w:rsidRPr="005F2AAE" w:rsidRDefault="000B4613" w:rsidP="00C91E9C">
            <w:pPr>
              <w:rPr>
                <w:lang w:val="es-419"/>
              </w:rPr>
            </w:pPr>
            <w:r w:rsidRPr="005F2AAE">
              <w:rPr>
                <w:lang w:val="es-419"/>
              </w:rPr>
              <w:t>Lilliana</w:t>
            </w:r>
            <w:r w:rsidR="00001E30">
              <w:rPr>
                <w:lang w:val="es-419"/>
              </w:rPr>
              <w:t xml:space="preserve"> </w:t>
            </w:r>
            <w:r w:rsidRPr="005F2AAE">
              <w:rPr>
                <w:lang w:val="es-419"/>
              </w:rPr>
              <w:t>Carranza</w:t>
            </w:r>
            <w:r w:rsidR="00001E30">
              <w:rPr>
                <w:lang w:val="es-419"/>
              </w:rPr>
              <w:t xml:space="preserve"> </w:t>
            </w:r>
            <w:r w:rsidRPr="005F2AAE">
              <w:rPr>
                <w:lang w:val="es-419"/>
              </w:rPr>
              <w:t>R.</w:t>
            </w:r>
          </w:p>
          <w:p w:rsidR="000B4613" w:rsidRPr="005F2AAE" w:rsidRDefault="000B4613" w:rsidP="00C91E9C">
            <w:pPr>
              <w:rPr>
                <w:lang w:val="es-419"/>
              </w:rPr>
            </w:pPr>
            <w:r w:rsidRPr="005F2AAE">
              <w:rPr>
                <w:lang w:val="es-419"/>
              </w:rPr>
              <w:t>Gerente,</w:t>
            </w:r>
            <w:r w:rsidR="00001E30">
              <w:rPr>
                <w:lang w:val="es-419"/>
              </w:rPr>
              <w:t xml:space="preserve"> </w:t>
            </w:r>
            <w:r w:rsidRPr="005F2AAE">
              <w:rPr>
                <w:lang w:val="es-419"/>
              </w:rPr>
              <w:t>Comunica</w:t>
            </w:r>
            <w:r>
              <w:rPr>
                <w:lang w:val="es-419"/>
              </w:rPr>
              <w:t>ción</w:t>
            </w:r>
            <w:r w:rsidR="00001E30">
              <w:rPr>
                <w:lang w:val="es-419"/>
              </w:rPr>
              <w:t xml:space="preserve"> </w:t>
            </w:r>
            <w:r>
              <w:rPr>
                <w:lang w:val="es-419"/>
              </w:rPr>
              <w:t>&amp;</w:t>
            </w:r>
            <w:r w:rsidR="00001E30">
              <w:rPr>
                <w:lang w:val="es-419"/>
              </w:rPr>
              <w:t xml:space="preserve"> </w:t>
            </w:r>
            <w:r>
              <w:rPr>
                <w:lang w:val="es-419"/>
              </w:rPr>
              <w:t>Mercadeo</w:t>
            </w:r>
          </w:p>
          <w:p w:rsidR="000B4613" w:rsidRPr="005F2AAE" w:rsidRDefault="000B4613" w:rsidP="00C91E9C">
            <w:pPr>
              <w:rPr>
                <w:lang w:val="es-419"/>
              </w:rPr>
            </w:pPr>
            <w:r w:rsidRPr="005F2AAE">
              <w:rPr>
                <w:lang w:val="es-419"/>
              </w:rPr>
              <w:t>Tel</w:t>
            </w:r>
            <w:r w:rsidR="00AB20B5">
              <w:rPr>
                <w:lang w:val="es-419"/>
              </w:rPr>
              <w:t>éfono</w:t>
            </w:r>
            <w:r w:rsidRPr="005F2AAE">
              <w:rPr>
                <w:lang w:val="es-419"/>
              </w:rPr>
              <w:t>:</w:t>
            </w:r>
            <w:r w:rsidR="00001E30">
              <w:rPr>
                <w:lang w:val="es-419"/>
              </w:rPr>
              <w:t xml:space="preserve"> </w:t>
            </w:r>
            <w:r w:rsidR="000969E0">
              <w:rPr>
                <w:lang w:val="es-419"/>
              </w:rPr>
              <w:t>(506)</w:t>
            </w:r>
            <w:r w:rsidR="00001E30">
              <w:rPr>
                <w:lang w:val="es-419"/>
              </w:rPr>
              <w:t xml:space="preserve"> </w:t>
            </w:r>
            <w:r w:rsidR="000969E0">
              <w:rPr>
                <w:lang w:val="es-419"/>
              </w:rPr>
              <w:t>2246</w:t>
            </w:r>
            <w:r w:rsidR="00001E30">
              <w:rPr>
                <w:lang w:val="es-419"/>
              </w:rPr>
              <w:t xml:space="preserve"> </w:t>
            </w:r>
            <w:r w:rsidR="000969E0">
              <w:rPr>
                <w:lang w:val="es-419"/>
              </w:rPr>
              <w:t>5094</w:t>
            </w:r>
          </w:p>
          <w:p w:rsidR="000B4613" w:rsidRDefault="00ED1316" w:rsidP="00913E4A">
            <w:pPr>
              <w:rPr>
                <w:lang w:val="es-419"/>
              </w:rPr>
            </w:pPr>
            <w:hyperlink r:id="rId8" w:history="1">
              <w:r w:rsidR="00913E4A" w:rsidRPr="002F02F4">
                <w:rPr>
                  <w:rStyle w:val="Hipervnculo"/>
                  <w:lang w:val="es-419"/>
                </w:rPr>
                <w:t>licarranza@deloitte.com</w:t>
              </w:r>
            </w:hyperlink>
          </w:p>
          <w:p w:rsidR="00913E4A" w:rsidRPr="005F2AAE" w:rsidRDefault="00913E4A" w:rsidP="00913E4A">
            <w:pPr>
              <w:rPr>
                <w:lang w:val="es-419"/>
              </w:rPr>
            </w:pPr>
          </w:p>
        </w:tc>
        <w:tc>
          <w:tcPr>
            <w:tcW w:w="2959" w:type="dxa"/>
            <w:vMerge/>
          </w:tcPr>
          <w:p w:rsidR="000B4613" w:rsidRPr="005F2AAE" w:rsidRDefault="000B4613" w:rsidP="00C91E9C">
            <w:pPr>
              <w:rPr>
                <w:lang w:val="es-419"/>
              </w:rPr>
            </w:pPr>
          </w:p>
        </w:tc>
      </w:tr>
    </w:tbl>
    <w:p w:rsidR="005F2AAE" w:rsidRPr="000969E0" w:rsidRDefault="005F2AAE" w:rsidP="00C04DCF">
      <w:pPr>
        <w:rPr>
          <w:lang w:val="es-CR"/>
        </w:rPr>
      </w:pPr>
    </w:p>
    <w:p w:rsidR="00C7097B" w:rsidRPr="00C7097B" w:rsidRDefault="00C7097B" w:rsidP="00C7097B">
      <w:pPr>
        <w:pStyle w:val="Sinespaciado"/>
        <w:rPr>
          <w:rFonts w:asciiTheme="majorHAnsi" w:hAnsiTheme="majorHAnsi" w:cs="Times New Roman"/>
          <w:b/>
          <w:sz w:val="28"/>
          <w:lang w:val="es-CR"/>
        </w:rPr>
      </w:pPr>
      <w:r w:rsidRPr="00C7097B">
        <w:rPr>
          <w:rFonts w:asciiTheme="majorHAnsi" w:hAnsiTheme="majorHAnsi" w:cs="Times New Roman"/>
          <w:b/>
          <w:sz w:val="28"/>
          <w:lang w:val="es-CR"/>
        </w:rPr>
        <w:t>66% de los trabaja</w:t>
      </w:r>
      <w:r>
        <w:rPr>
          <w:rFonts w:asciiTheme="majorHAnsi" w:hAnsiTheme="majorHAnsi" w:cs="Times New Roman"/>
          <w:b/>
          <w:sz w:val="28"/>
          <w:lang w:val="es-CR"/>
        </w:rPr>
        <w:t>dores del sector de Tecnologías</w:t>
      </w:r>
      <w:r w:rsidR="0066677B">
        <w:rPr>
          <w:rFonts w:asciiTheme="majorHAnsi" w:hAnsiTheme="majorHAnsi" w:cs="Times New Roman"/>
          <w:b/>
          <w:sz w:val="28"/>
          <w:lang w:val="es-CR"/>
        </w:rPr>
        <w:t xml:space="preserve"> de Información </w:t>
      </w:r>
      <w:r w:rsidRPr="00C7097B">
        <w:rPr>
          <w:rFonts w:asciiTheme="majorHAnsi" w:hAnsiTheme="majorHAnsi" w:cs="Times New Roman"/>
          <w:b/>
          <w:sz w:val="28"/>
          <w:lang w:val="es-CR"/>
        </w:rPr>
        <w:t xml:space="preserve">en Costa Rica son </w:t>
      </w:r>
      <w:r w:rsidRPr="00C7097B">
        <w:rPr>
          <w:rFonts w:asciiTheme="majorHAnsi" w:hAnsiTheme="majorHAnsi" w:cs="Times New Roman"/>
          <w:b/>
          <w:i/>
          <w:sz w:val="28"/>
          <w:lang w:val="es-CR"/>
        </w:rPr>
        <w:t>“</w:t>
      </w:r>
      <w:proofErr w:type="spellStart"/>
      <w:r w:rsidRPr="00C7097B">
        <w:rPr>
          <w:rFonts w:asciiTheme="majorHAnsi" w:hAnsiTheme="majorHAnsi" w:cs="Times New Roman"/>
          <w:b/>
          <w:i/>
          <w:sz w:val="28"/>
          <w:lang w:val="es-CR"/>
        </w:rPr>
        <w:t>Millennials</w:t>
      </w:r>
      <w:proofErr w:type="spellEnd"/>
      <w:r w:rsidRPr="00C7097B">
        <w:rPr>
          <w:rFonts w:asciiTheme="majorHAnsi" w:hAnsiTheme="majorHAnsi" w:cs="Times New Roman"/>
          <w:b/>
          <w:i/>
          <w:sz w:val="28"/>
          <w:lang w:val="es-CR"/>
        </w:rPr>
        <w:t>”</w:t>
      </w:r>
    </w:p>
    <w:p w:rsidR="006C1084" w:rsidRDefault="00422D63" w:rsidP="00C7097B">
      <w:pPr>
        <w:pStyle w:val="Sinespaciado"/>
        <w:rPr>
          <w:rFonts w:asciiTheme="majorHAnsi" w:hAnsiTheme="majorHAnsi" w:cs="Times New Roman"/>
          <w:i/>
          <w:lang w:val="es-CR"/>
        </w:rPr>
      </w:pPr>
      <w:r>
        <w:rPr>
          <w:rFonts w:asciiTheme="majorHAnsi" w:hAnsiTheme="majorHAnsi" w:cs="Times New Roman"/>
          <w:i/>
          <w:lang w:val="es-CR"/>
        </w:rPr>
        <w:t>Deloitte realiza</w:t>
      </w:r>
      <w:r w:rsidR="00C7097B" w:rsidRPr="00C7097B">
        <w:rPr>
          <w:rFonts w:asciiTheme="majorHAnsi" w:hAnsiTheme="majorHAnsi" w:cs="Times New Roman"/>
          <w:i/>
          <w:lang w:val="es-CR"/>
        </w:rPr>
        <w:t xml:space="preserve"> lanzamiento de la herramienta “</w:t>
      </w:r>
      <w:proofErr w:type="spellStart"/>
      <w:r w:rsidR="00C7097B" w:rsidRPr="00C7097B">
        <w:rPr>
          <w:rFonts w:asciiTheme="majorHAnsi" w:hAnsiTheme="majorHAnsi" w:cs="Times New Roman"/>
          <w:i/>
          <w:lang w:val="es-CR"/>
        </w:rPr>
        <w:t>Deloitte</w:t>
      </w:r>
      <w:proofErr w:type="spellEnd"/>
      <w:r w:rsidR="00C7097B" w:rsidRPr="00C7097B">
        <w:rPr>
          <w:rFonts w:asciiTheme="majorHAnsi" w:hAnsiTheme="majorHAnsi" w:cs="Times New Roman"/>
          <w:i/>
          <w:lang w:val="es-CR"/>
        </w:rPr>
        <w:t xml:space="preserve"> </w:t>
      </w:r>
      <w:proofErr w:type="spellStart"/>
      <w:r w:rsidR="00C7097B" w:rsidRPr="00C7097B">
        <w:rPr>
          <w:rFonts w:asciiTheme="majorHAnsi" w:hAnsiTheme="majorHAnsi" w:cs="Times New Roman"/>
          <w:i/>
          <w:lang w:val="es-CR"/>
        </w:rPr>
        <w:t>Compensation</w:t>
      </w:r>
      <w:proofErr w:type="spellEnd"/>
      <w:r w:rsidR="000953C1">
        <w:rPr>
          <w:rFonts w:asciiTheme="majorHAnsi" w:hAnsiTheme="majorHAnsi" w:cs="Times New Roman"/>
          <w:i/>
          <w:lang w:val="es-CR"/>
        </w:rPr>
        <w:t xml:space="preserve"> and </w:t>
      </w:r>
      <w:proofErr w:type="spellStart"/>
      <w:r w:rsidR="000953C1">
        <w:rPr>
          <w:rFonts w:asciiTheme="majorHAnsi" w:hAnsiTheme="majorHAnsi" w:cs="Times New Roman"/>
          <w:i/>
          <w:lang w:val="es-CR"/>
        </w:rPr>
        <w:t>Benefits</w:t>
      </w:r>
      <w:proofErr w:type="spellEnd"/>
      <w:r w:rsidR="00C7097B" w:rsidRPr="00C7097B">
        <w:rPr>
          <w:rFonts w:asciiTheme="majorHAnsi" w:hAnsiTheme="majorHAnsi" w:cs="Times New Roman"/>
          <w:i/>
          <w:lang w:val="es-CR"/>
        </w:rPr>
        <w:t>”</w:t>
      </w:r>
    </w:p>
    <w:p w:rsidR="000402BB" w:rsidRPr="00C7097B" w:rsidRDefault="000402BB" w:rsidP="00C7097B">
      <w:pPr>
        <w:pStyle w:val="Sinespaciado"/>
        <w:rPr>
          <w:rFonts w:asciiTheme="majorHAnsi" w:hAnsiTheme="majorHAnsi" w:cs="Times New Roman"/>
          <w:i/>
          <w:lang w:val="es-CR"/>
        </w:rPr>
      </w:pPr>
    </w:p>
    <w:p w:rsidR="00001E30" w:rsidRPr="00C7097B" w:rsidRDefault="00001E30" w:rsidP="0009750A">
      <w:pPr>
        <w:pStyle w:val="Sinespaciado"/>
        <w:jc w:val="both"/>
        <w:rPr>
          <w:rFonts w:asciiTheme="majorHAnsi" w:hAnsiTheme="majorHAnsi" w:cs="Times New Roman"/>
          <w:lang w:val="es-CR"/>
        </w:rPr>
      </w:pPr>
    </w:p>
    <w:p w:rsidR="00C7097B" w:rsidRPr="00C7097B" w:rsidRDefault="000E21EE" w:rsidP="0009750A">
      <w:pPr>
        <w:pStyle w:val="Sinespaciado"/>
        <w:jc w:val="both"/>
        <w:rPr>
          <w:rFonts w:asciiTheme="majorHAnsi" w:hAnsiTheme="majorHAnsi" w:cs="Times New Roman"/>
          <w:sz w:val="18"/>
          <w:lang w:val="es-CR"/>
        </w:rPr>
      </w:pPr>
      <w:r w:rsidRPr="000E21EE">
        <w:rPr>
          <w:rFonts w:asciiTheme="majorHAnsi" w:hAnsiTheme="majorHAnsi" w:cs="Times New Roman"/>
          <w:b/>
          <w:sz w:val="18"/>
          <w:lang w:val="es-CR"/>
        </w:rPr>
        <w:t>San</w:t>
      </w:r>
      <w:r w:rsidR="00001E30">
        <w:rPr>
          <w:rFonts w:asciiTheme="majorHAnsi" w:hAnsiTheme="majorHAnsi" w:cs="Times New Roman"/>
          <w:b/>
          <w:sz w:val="18"/>
          <w:lang w:val="es-CR"/>
        </w:rPr>
        <w:t xml:space="preserve"> </w:t>
      </w:r>
      <w:r w:rsidRPr="000E21EE">
        <w:rPr>
          <w:rFonts w:asciiTheme="majorHAnsi" w:hAnsiTheme="majorHAnsi" w:cs="Times New Roman"/>
          <w:b/>
          <w:sz w:val="18"/>
          <w:lang w:val="es-CR"/>
        </w:rPr>
        <w:t>José,</w:t>
      </w:r>
      <w:r w:rsidR="00001E30">
        <w:rPr>
          <w:rFonts w:asciiTheme="majorHAnsi" w:hAnsiTheme="majorHAnsi" w:cs="Times New Roman"/>
          <w:b/>
          <w:sz w:val="18"/>
          <w:lang w:val="es-CR"/>
        </w:rPr>
        <w:t xml:space="preserve"> </w:t>
      </w:r>
      <w:r w:rsidR="00C7097B">
        <w:rPr>
          <w:rFonts w:asciiTheme="majorHAnsi" w:hAnsiTheme="majorHAnsi" w:cs="Times New Roman"/>
          <w:b/>
          <w:sz w:val="18"/>
          <w:lang w:val="es-CR"/>
        </w:rPr>
        <w:t>30 de mayo,</w:t>
      </w:r>
      <w:r w:rsidR="00001E30">
        <w:rPr>
          <w:rFonts w:asciiTheme="majorHAnsi" w:hAnsiTheme="majorHAnsi" w:cs="Times New Roman"/>
          <w:b/>
          <w:sz w:val="18"/>
          <w:lang w:val="es-CR"/>
        </w:rPr>
        <w:t xml:space="preserve"> </w:t>
      </w:r>
      <w:r w:rsidRPr="000E21EE">
        <w:rPr>
          <w:rFonts w:asciiTheme="majorHAnsi" w:hAnsiTheme="majorHAnsi" w:cs="Times New Roman"/>
          <w:b/>
          <w:sz w:val="18"/>
          <w:lang w:val="es-CR"/>
        </w:rPr>
        <w:t>2017.</w:t>
      </w:r>
      <w:r w:rsidR="00001E30">
        <w:rPr>
          <w:rFonts w:asciiTheme="majorHAnsi" w:hAnsiTheme="majorHAnsi" w:cs="Times New Roman"/>
          <w:sz w:val="18"/>
          <w:lang w:val="es-CR"/>
        </w:rPr>
        <w:t xml:space="preserve"> </w:t>
      </w:r>
      <w:r>
        <w:rPr>
          <w:rFonts w:asciiTheme="majorHAnsi" w:hAnsiTheme="majorHAnsi" w:cs="Times New Roman"/>
          <w:sz w:val="18"/>
          <w:lang w:val="es-CR"/>
        </w:rPr>
        <w:t>–</w:t>
      </w:r>
      <w:r w:rsidR="00001E30">
        <w:rPr>
          <w:rFonts w:asciiTheme="majorHAnsi" w:hAnsiTheme="majorHAnsi" w:cs="Times New Roman"/>
          <w:sz w:val="18"/>
          <w:lang w:val="es-CR"/>
        </w:rPr>
        <w:t xml:space="preserve"> </w:t>
      </w:r>
      <w:r w:rsidR="00C7097B" w:rsidRPr="00C7097B">
        <w:rPr>
          <w:rFonts w:asciiTheme="majorHAnsi" w:hAnsiTheme="majorHAnsi" w:cs="Times New Roman"/>
          <w:sz w:val="18"/>
          <w:lang w:val="es-CR"/>
        </w:rPr>
        <w:t>El primer estudio salar</w:t>
      </w:r>
      <w:r w:rsidR="00C57607">
        <w:rPr>
          <w:rFonts w:asciiTheme="majorHAnsi" w:hAnsiTheme="majorHAnsi" w:cs="Times New Roman"/>
          <w:sz w:val="18"/>
          <w:lang w:val="es-CR"/>
        </w:rPr>
        <w:t>ial hecho a la medida para el</w:t>
      </w:r>
      <w:r w:rsidR="00FD3E32">
        <w:rPr>
          <w:rFonts w:asciiTheme="majorHAnsi" w:hAnsiTheme="majorHAnsi" w:cs="Times New Roman"/>
          <w:sz w:val="18"/>
          <w:lang w:val="es-CR"/>
        </w:rPr>
        <w:t xml:space="preserve"> sector de </w:t>
      </w:r>
      <w:r w:rsidR="00C7097B" w:rsidRPr="00C7097B">
        <w:rPr>
          <w:rFonts w:asciiTheme="majorHAnsi" w:hAnsiTheme="majorHAnsi" w:cs="Times New Roman"/>
          <w:sz w:val="18"/>
          <w:lang w:val="es-CR"/>
        </w:rPr>
        <w:t xml:space="preserve">Tecnologías </w:t>
      </w:r>
      <w:r w:rsidR="00FD3E32">
        <w:rPr>
          <w:rFonts w:asciiTheme="majorHAnsi" w:hAnsiTheme="majorHAnsi" w:cs="Times New Roman"/>
          <w:sz w:val="18"/>
          <w:lang w:val="es-CR"/>
        </w:rPr>
        <w:t xml:space="preserve">de Información </w:t>
      </w:r>
      <w:r w:rsidR="00C7097B" w:rsidRPr="00C7097B">
        <w:rPr>
          <w:rFonts w:asciiTheme="majorHAnsi" w:hAnsiTheme="majorHAnsi" w:cs="Times New Roman"/>
          <w:sz w:val="18"/>
          <w:lang w:val="es-CR"/>
        </w:rPr>
        <w:t>en Costa Rica (TIC) muestra que un 66% de los</w:t>
      </w:r>
      <w:r w:rsidR="00C7097B">
        <w:rPr>
          <w:rFonts w:asciiTheme="majorHAnsi" w:hAnsiTheme="majorHAnsi" w:cs="Times New Roman"/>
          <w:sz w:val="18"/>
          <w:lang w:val="es-CR"/>
        </w:rPr>
        <w:t xml:space="preserve"> </w:t>
      </w:r>
      <w:r w:rsidR="00210122">
        <w:rPr>
          <w:rFonts w:asciiTheme="majorHAnsi" w:hAnsiTheme="majorHAnsi" w:cs="Times New Roman"/>
          <w:sz w:val="18"/>
          <w:lang w:val="es-CR"/>
        </w:rPr>
        <w:t>trabajadores de este sector</w:t>
      </w:r>
      <w:r w:rsidR="00C7097B" w:rsidRPr="00C7097B">
        <w:rPr>
          <w:rFonts w:asciiTheme="majorHAnsi" w:hAnsiTheme="majorHAnsi" w:cs="Times New Roman"/>
          <w:sz w:val="18"/>
          <w:lang w:val="es-CR"/>
        </w:rPr>
        <w:t xml:space="preserve"> son </w:t>
      </w:r>
      <w:proofErr w:type="spellStart"/>
      <w:r w:rsidR="00C7097B" w:rsidRPr="00C7097B">
        <w:rPr>
          <w:rFonts w:asciiTheme="majorHAnsi" w:hAnsiTheme="majorHAnsi" w:cs="Times New Roman"/>
          <w:i/>
          <w:sz w:val="18"/>
          <w:lang w:val="es-CR"/>
        </w:rPr>
        <w:t>Millennials</w:t>
      </w:r>
      <w:proofErr w:type="spellEnd"/>
      <w:r w:rsidR="002E42E0">
        <w:rPr>
          <w:rFonts w:asciiTheme="majorHAnsi" w:hAnsiTheme="majorHAnsi" w:cs="Times New Roman"/>
          <w:i/>
          <w:sz w:val="18"/>
          <w:lang w:val="es-CR"/>
        </w:rPr>
        <w:t>,</w:t>
      </w:r>
      <w:r w:rsidR="00512EE0">
        <w:rPr>
          <w:rFonts w:asciiTheme="majorHAnsi" w:hAnsiTheme="majorHAnsi" w:cs="Times New Roman"/>
          <w:sz w:val="18"/>
          <w:lang w:val="es-CR"/>
        </w:rPr>
        <w:t xml:space="preserve"> y es una industria</w:t>
      </w:r>
      <w:r w:rsidR="00C7097B" w:rsidRPr="00C7097B">
        <w:rPr>
          <w:rFonts w:asciiTheme="majorHAnsi" w:hAnsiTheme="majorHAnsi" w:cs="Times New Roman"/>
          <w:sz w:val="18"/>
          <w:lang w:val="es-CR"/>
        </w:rPr>
        <w:t xml:space="preserve"> donde las certificaciones especializadas y la experiencia son variables mejor remuneradas que los estudios formales tipo maestrías o postgrados. </w:t>
      </w:r>
    </w:p>
    <w:p w:rsidR="00C7097B" w:rsidRPr="00C7097B" w:rsidRDefault="00C7097B" w:rsidP="0009750A">
      <w:pPr>
        <w:pStyle w:val="Sinespaciado"/>
        <w:jc w:val="both"/>
        <w:rPr>
          <w:rFonts w:asciiTheme="majorHAnsi" w:hAnsiTheme="majorHAnsi" w:cs="Times New Roman"/>
          <w:sz w:val="18"/>
          <w:lang w:val="es-CR"/>
        </w:rPr>
      </w:pPr>
    </w:p>
    <w:p w:rsidR="00C7097B" w:rsidRPr="00C7097B" w:rsidRDefault="00C7097B" w:rsidP="0009750A">
      <w:pPr>
        <w:pStyle w:val="Sinespaciado"/>
        <w:jc w:val="both"/>
        <w:rPr>
          <w:rFonts w:asciiTheme="majorHAnsi" w:hAnsiTheme="majorHAnsi" w:cs="Times New Roman"/>
          <w:sz w:val="18"/>
          <w:lang w:val="es-CR"/>
        </w:rPr>
      </w:pPr>
      <w:r w:rsidRPr="0001671E">
        <w:rPr>
          <w:rFonts w:asciiTheme="majorHAnsi" w:hAnsiTheme="majorHAnsi" w:cs="Times New Roman"/>
          <w:sz w:val="18"/>
          <w:lang w:val="es-CR"/>
        </w:rPr>
        <w:t>Este</w:t>
      </w:r>
      <w:r w:rsidRPr="00C7097B">
        <w:rPr>
          <w:rFonts w:asciiTheme="majorHAnsi" w:hAnsiTheme="majorHAnsi" w:cs="Times New Roman"/>
          <w:sz w:val="18"/>
          <w:lang w:val="es-CR"/>
        </w:rPr>
        <w:t xml:space="preserve"> 30 de mayo, Deloitte</w:t>
      </w:r>
      <w:r w:rsidR="008C6850">
        <w:rPr>
          <w:rFonts w:asciiTheme="majorHAnsi" w:hAnsiTheme="majorHAnsi" w:cs="Times New Roman"/>
          <w:sz w:val="18"/>
          <w:lang w:val="es-CR"/>
        </w:rPr>
        <w:t xml:space="preserve"> lanzó oficialmente la</w:t>
      </w:r>
      <w:r w:rsidRPr="00C7097B">
        <w:rPr>
          <w:rFonts w:asciiTheme="majorHAnsi" w:hAnsiTheme="majorHAnsi" w:cs="Times New Roman"/>
          <w:sz w:val="18"/>
          <w:lang w:val="es-CR"/>
        </w:rPr>
        <w:t xml:space="preserve"> herramienta de compensación y beneficios denominada </w:t>
      </w:r>
      <w:r w:rsidRPr="0001671E">
        <w:rPr>
          <w:rFonts w:asciiTheme="majorHAnsi" w:hAnsiTheme="majorHAnsi" w:cs="Times New Roman"/>
          <w:i/>
          <w:sz w:val="18"/>
          <w:lang w:val="es-CR"/>
        </w:rPr>
        <w:t>“</w:t>
      </w:r>
      <w:proofErr w:type="spellStart"/>
      <w:r w:rsidRPr="0001671E">
        <w:rPr>
          <w:rFonts w:asciiTheme="majorHAnsi" w:hAnsiTheme="majorHAnsi" w:cs="Times New Roman"/>
          <w:i/>
          <w:sz w:val="18"/>
          <w:lang w:val="es-CR"/>
        </w:rPr>
        <w:t>Deloitte</w:t>
      </w:r>
      <w:proofErr w:type="spellEnd"/>
      <w:r w:rsidRPr="0001671E">
        <w:rPr>
          <w:rFonts w:asciiTheme="majorHAnsi" w:hAnsiTheme="majorHAnsi" w:cs="Times New Roman"/>
          <w:i/>
          <w:sz w:val="18"/>
          <w:lang w:val="es-CR"/>
        </w:rPr>
        <w:t xml:space="preserve"> </w:t>
      </w:r>
      <w:proofErr w:type="spellStart"/>
      <w:r w:rsidRPr="0001671E">
        <w:rPr>
          <w:rFonts w:asciiTheme="majorHAnsi" w:hAnsiTheme="majorHAnsi" w:cs="Times New Roman"/>
          <w:i/>
          <w:sz w:val="18"/>
          <w:lang w:val="es-CR"/>
        </w:rPr>
        <w:t>Compensation</w:t>
      </w:r>
      <w:proofErr w:type="spellEnd"/>
      <w:r w:rsidR="00632116" w:rsidRPr="0001671E">
        <w:rPr>
          <w:rFonts w:asciiTheme="majorHAnsi" w:hAnsiTheme="majorHAnsi" w:cs="Times New Roman"/>
          <w:i/>
          <w:sz w:val="18"/>
          <w:lang w:val="es-CR"/>
        </w:rPr>
        <w:t xml:space="preserve"> and </w:t>
      </w:r>
      <w:proofErr w:type="spellStart"/>
      <w:r w:rsidR="00632116" w:rsidRPr="0001671E">
        <w:rPr>
          <w:rFonts w:asciiTheme="majorHAnsi" w:hAnsiTheme="majorHAnsi" w:cs="Times New Roman"/>
          <w:i/>
          <w:sz w:val="18"/>
          <w:lang w:val="es-CR"/>
        </w:rPr>
        <w:t>Benefits</w:t>
      </w:r>
      <w:proofErr w:type="spellEnd"/>
      <w:r w:rsidRPr="0001671E">
        <w:rPr>
          <w:rFonts w:asciiTheme="majorHAnsi" w:hAnsiTheme="majorHAnsi" w:cs="Times New Roman"/>
          <w:i/>
          <w:sz w:val="18"/>
          <w:lang w:val="es-CR"/>
        </w:rPr>
        <w:t>”</w:t>
      </w:r>
      <w:r w:rsidR="00CE435C">
        <w:rPr>
          <w:rFonts w:asciiTheme="majorHAnsi" w:hAnsiTheme="majorHAnsi" w:cs="Times New Roman"/>
          <w:sz w:val="18"/>
          <w:lang w:val="es-CR"/>
        </w:rPr>
        <w:t xml:space="preserve">, mediante la cual se obtuvieron </w:t>
      </w:r>
      <w:r w:rsidR="0001671E">
        <w:rPr>
          <w:rFonts w:asciiTheme="majorHAnsi" w:hAnsiTheme="majorHAnsi" w:cs="Times New Roman"/>
          <w:sz w:val="18"/>
          <w:lang w:val="es-CR"/>
        </w:rPr>
        <w:t>los resultados del</w:t>
      </w:r>
      <w:r w:rsidRPr="00C7097B">
        <w:rPr>
          <w:rFonts w:asciiTheme="majorHAnsi" w:hAnsiTheme="majorHAnsi" w:cs="Times New Roman"/>
          <w:sz w:val="18"/>
          <w:lang w:val="es-CR"/>
        </w:rPr>
        <w:t xml:space="preserve"> Estudio Salarial </w:t>
      </w:r>
      <w:r w:rsidR="00CE435C">
        <w:rPr>
          <w:rFonts w:asciiTheme="majorHAnsi" w:hAnsiTheme="majorHAnsi" w:cs="Times New Roman"/>
          <w:sz w:val="18"/>
          <w:lang w:val="es-CR"/>
        </w:rPr>
        <w:t xml:space="preserve">aplicado al </w:t>
      </w:r>
      <w:r w:rsidRPr="00C7097B">
        <w:rPr>
          <w:rFonts w:asciiTheme="majorHAnsi" w:hAnsiTheme="majorHAnsi" w:cs="Times New Roman"/>
          <w:sz w:val="18"/>
          <w:lang w:val="es-CR"/>
        </w:rPr>
        <w:t>Sector TIC</w:t>
      </w:r>
      <w:r w:rsidR="00422D63">
        <w:rPr>
          <w:rFonts w:asciiTheme="majorHAnsi" w:hAnsiTheme="majorHAnsi" w:cs="Times New Roman"/>
          <w:sz w:val="18"/>
          <w:lang w:val="es-CR"/>
        </w:rPr>
        <w:t xml:space="preserve"> de</w:t>
      </w:r>
      <w:r w:rsidR="00E778F0">
        <w:rPr>
          <w:rFonts w:asciiTheme="majorHAnsi" w:hAnsiTheme="majorHAnsi" w:cs="Times New Roman"/>
          <w:sz w:val="18"/>
          <w:lang w:val="es-CR"/>
        </w:rPr>
        <w:t>l país</w:t>
      </w:r>
      <w:r w:rsidR="0001671E" w:rsidRPr="0001671E">
        <w:rPr>
          <w:rFonts w:asciiTheme="majorHAnsi" w:hAnsiTheme="majorHAnsi" w:cs="Times New Roman"/>
          <w:sz w:val="18"/>
          <w:lang w:val="es-CR"/>
        </w:rPr>
        <w:t xml:space="preserve">; </w:t>
      </w:r>
      <w:r w:rsidR="0001671E">
        <w:rPr>
          <w:rFonts w:asciiTheme="majorHAnsi" w:hAnsiTheme="majorHAnsi" w:cs="Times New Roman"/>
          <w:sz w:val="18"/>
          <w:lang w:val="es-CR"/>
        </w:rPr>
        <w:t>esfuerzo que se</w:t>
      </w:r>
      <w:r w:rsidR="00422D63">
        <w:rPr>
          <w:rFonts w:asciiTheme="majorHAnsi" w:hAnsiTheme="majorHAnsi" w:cs="Times New Roman"/>
          <w:sz w:val="18"/>
          <w:lang w:val="es-CR"/>
        </w:rPr>
        <w:t xml:space="preserve"> realizó en conjunto con CAMTIC. </w:t>
      </w:r>
      <w:r w:rsidR="00CE435C">
        <w:rPr>
          <w:rFonts w:asciiTheme="majorHAnsi" w:hAnsiTheme="majorHAnsi" w:cs="Times New Roman"/>
          <w:sz w:val="18"/>
          <w:lang w:val="es-CR"/>
        </w:rPr>
        <w:t xml:space="preserve">Para </w:t>
      </w:r>
      <w:r w:rsidR="00CE435C" w:rsidRPr="0001671E">
        <w:rPr>
          <w:rFonts w:asciiTheme="majorHAnsi" w:hAnsiTheme="majorHAnsi" w:cs="Times New Roman"/>
          <w:sz w:val="18"/>
          <w:lang w:val="es-CR"/>
        </w:rPr>
        <w:t>e</w:t>
      </w:r>
      <w:r w:rsidRPr="0001671E">
        <w:rPr>
          <w:rFonts w:asciiTheme="majorHAnsi" w:hAnsiTheme="majorHAnsi" w:cs="Times New Roman"/>
          <w:sz w:val="18"/>
          <w:lang w:val="es-CR"/>
        </w:rPr>
        <w:t>sta</w:t>
      </w:r>
      <w:r w:rsidRPr="00C7097B">
        <w:rPr>
          <w:rFonts w:asciiTheme="majorHAnsi" w:hAnsiTheme="majorHAnsi" w:cs="Times New Roman"/>
          <w:sz w:val="18"/>
          <w:lang w:val="es-CR"/>
        </w:rPr>
        <w:t xml:space="preserve"> edición se contó con la participación de 35 empresas costarricenses </w:t>
      </w:r>
      <w:r w:rsidR="00E51627">
        <w:rPr>
          <w:rFonts w:asciiTheme="majorHAnsi" w:hAnsiTheme="majorHAnsi" w:cs="Times New Roman"/>
          <w:sz w:val="18"/>
          <w:lang w:val="es-CR"/>
        </w:rPr>
        <w:t xml:space="preserve">que respondieron la encuesta, las cuales </w:t>
      </w:r>
      <w:r w:rsidRPr="00C7097B">
        <w:rPr>
          <w:rFonts w:asciiTheme="majorHAnsi" w:hAnsiTheme="majorHAnsi" w:cs="Times New Roman"/>
          <w:sz w:val="18"/>
          <w:lang w:val="es-CR"/>
        </w:rPr>
        <w:t>representan el 5.8% del sector TIC según el mapeo sec</w:t>
      </w:r>
      <w:r w:rsidR="008C3224">
        <w:rPr>
          <w:rFonts w:asciiTheme="majorHAnsi" w:hAnsiTheme="majorHAnsi" w:cs="Times New Roman"/>
          <w:sz w:val="18"/>
          <w:lang w:val="es-CR"/>
        </w:rPr>
        <w:t>torial desarrollado por CAMTIC.</w:t>
      </w:r>
      <w:r w:rsidR="008C6850">
        <w:rPr>
          <w:rFonts w:asciiTheme="majorHAnsi" w:hAnsiTheme="majorHAnsi" w:cs="Times New Roman"/>
          <w:sz w:val="18"/>
          <w:lang w:val="es-CR"/>
        </w:rPr>
        <w:t xml:space="preserve"> </w:t>
      </w:r>
    </w:p>
    <w:p w:rsidR="00C7097B" w:rsidRPr="00C7097B" w:rsidRDefault="00C7097B" w:rsidP="0009750A">
      <w:pPr>
        <w:pStyle w:val="Sinespaciado"/>
        <w:jc w:val="both"/>
        <w:rPr>
          <w:rFonts w:asciiTheme="majorHAnsi" w:hAnsiTheme="majorHAnsi" w:cs="Times New Roman"/>
          <w:sz w:val="18"/>
          <w:lang w:val="es-CR"/>
        </w:rPr>
      </w:pPr>
    </w:p>
    <w:p w:rsidR="00C7097B" w:rsidRPr="00C7097B" w:rsidRDefault="008A09BE" w:rsidP="0009750A">
      <w:pPr>
        <w:pStyle w:val="Sinespaciado"/>
        <w:jc w:val="both"/>
        <w:rPr>
          <w:rFonts w:asciiTheme="majorHAnsi" w:hAnsiTheme="majorHAnsi" w:cs="Times New Roman"/>
          <w:sz w:val="18"/>
          <w:lang w:val="es-CR"/>
        </w:rPr>
      </w:pPr>
      <w:r>
        <w:rPr>
          <w:rFonts w:asciiTheme="majorHAnsi" w:hAnsiTheme="majorHAnsi" w:cs="Times New Roman"/>
          <w:sz w:val="18"/>
          <w:lang w:val="es-CR"/>
        </w:rPr>
        <w:t xml:space="preserve">El Estudio </w:t>
      </w:r>
      <w:r w:rsidR="00C7097B" w:rsidRPr="00C7097B">
        <w:rPr>
          <w:rFonts w:asciiTheme="majorHAnsi" w:hAnsiTheme="majorHAnsi" w:cs="Times New Roman"/>
          <w:sz w:val="18"/>
          <w:lang w:val="es-CR"/>
        </w:rPr>
        <w:t xml:space="preserve">detalla datos salariales para más de 120 posiciones especializadas del sector </w:t>
      </w:r>
      <w:r w:rsidR="00482092">
        <w:rPr>
          <w:rFonts w:asciiTheme="majorHAnsi" w:hAnsiTheme="majorHAnsi" w:cs="Times New Roman"/>
          <w:sz w:val="18"/>
          <w:lang w:val="es-CR"/>
        </w:rPr>
        <w:t xml:space="preserve">y </w:t>
      </w:r>
      <w:r w:rsidR="00C7097B" w:rsidRPr="00C7097B">
        <w:rPr>
          <w:rFonts w:asciiTheme="majorHAnsi" w:hAnsiTheme="majorHAnsi" w:cs="Times New Roman"/>
          <w:sz w:val="18"/>
          <w:lang w:val="es-CR"/>
        </w:rPr>
        <w:t>fue desarrollado en el primer semestre del presente año y con este primer esfuerzo, Deloitte lanza oficialmente su servicio de “Estudios de compensación y beneficios a la medida”.</w:t>
      </w:r>
    </w:p>
    <w:p w:rsidR="00C7097B" w:rsidRPr="00C7097B" w:rsidRDefault="00C7097B" w:rsidP="0009750A">
      <w:pPr>
        <w:pStyle w:val="Sinespaciado"/>
        <w:jc w:val="both"/>
        <w:rPr>
          <w:rFonts w:asciiTheme="majorHAnsi" w:hAnsiTheme="majorHAnsi" w:cs="Times New Roman"/>
          <w:sz w:val="18"/>
          <w:lang w:val="es-CR"/>
        </w:rPr>
      </w:pPr>
    </w:p>
    <w:p w:rsidR="00C7097B" w:rsidRPr="00C7097B" w:rsidRDefault="00C7097B" w:rsidP="0009750A">
      <w:pPr>
        <w:pStyle w:val="Sinespaciado"/>
        <w:jc w:val="both"/>
        <w:rPr>
          <w:rFonts w:asciiTheme="majorHAnsi" w:hAnsiTheme="majorHAnsi" w:cs="Times New Roman"/>
          <w:sz w:val="18"/>
          <w:lang w:val="es-CR"/>
        </w:rPr>
      </w:pPr>
      <w:r w:rsidRPr="00C7097B">
        <w:rPr>
          <w:rFonts w:asciiTheme="majorHAnsi" w:hAnsiTheme="majorHAnsi" w:cs="Times New Roman"/>
          <w:sz w:val="18"/>
          <w:lang w:val="es-CR"/>
        </w:rPr>
        <w:t>Los resultados de este estudio salarial para el sector T</w:t>
      </w:r>
      <w:r w:rsidR="009E1305">
        <w:rPr>
          <w:rFonts w:asciiTheme="majorHAnsi" w:hAnsiTheme="majorHAnsi" w:cs="Times New Roman"/>
          <w:sz w:val="18"/>
          <w:lang w:val="es-CR"/>
        </w:rPr>
        <w:t xml:space="preserve">IC en Costa Rica los expusieron </w:t>
      </w:r>
      <w:r w:rsidRPr="00C7097B">
        <w:rPr>
          <w:rFonts w:asciiTheme="majorHAnsi" w:hAnsiTheme="majorHAnsi" w:cs="Times New Roman"/>
          <w:b/>
          <w:sz w:val="18"/>
          <w:lang w:val="es-CR"/>
        </w:rPr>
        <w:t>Sofía Calderón</w:t>
      </w:r>
      <w:r w:rsidRPr="00C7097B">
        <w:rPr>
          <w:rFonts w:asciiTheme="majorHAnsi" w:hAnsiTheme="majorHAnsi" w:cs="Times New Roman"/>
          <w:sz w:val="18"/>
          <w:lang w:val="es-CR"/>
        </w:rPr>
        <w:t xml:space="preserve">, </w:t>
      </w:r>
      <w:r w:rsidRPr="00C7097B">
        <w:rPr>
          <w:rFonts w:asciiTheme="majorHAnsi" w:hAnsiTheme="majorHAnsi" w:cs="Times New Roman"/>
          <w:b/>
          <w:sz w:val="18"/>
          <w:lang w:val="es-CR"/>
        </w:rPr>
        <w:t>Directora de Consultoría de Deloitte</w:t>
      </w:r>
      <w:r w:rsidRPr="00C7097B">
        <w:rPr>
          <w:rFonts w:asciiTheme="majorHAnsi" w:hAnsiTheme="majorHAnsi" w:cs="Times New Roman"/>
          <w:sz w:val="18"/>
          <w:lang w:val="es-CR"/>
        </w:rPr>
        <w:t xml:space="preserve"> y </w:t>
      </w:r>
      <w:r w:rsidRPr="00C7097B">
        <w:rPr>
          <w:rFonts w:asciiTheme="majorHAnsi" w:hAnsiTheme="majorHAnsi" w:cs="Times New Roman"/>
          <w:b/>
          <w:sz w:val="18"/>
          <w:lang w:val="es-CR"/>
        </w:rPr>
        <w:t>Cristina Cubero</w:t>
      </w:r>
      <w:r w:rsidRPr="00C7097B">
        <w:rPr>
          <w:rFonts w:asciiTheme="majorHAnsi" w:hAnsiTheme="majorHAnsi" w:cs="Times New Roman"/>
          <w:sz w:val="18"/>
          <w:lang w:val="es-CR"/>
        </w:rPr>
        <w:t xml:space="preserve">, </w:t>
      </w:r>
      <w:r w:rsidRPr="00C7097B">
        <w:rPr>
          <w:rFonts w:asciiTheme="majorHAnsi" w:hAnsiTheme="majorHAnsi" w:cs="Times New Roman"/>
          <w:b/>
          <w:sz w:val="18"/>
          <w:lang w:val="es-CR"/>
        </w:rPr>
        <w:t>Directora de Human Capital de Deloitte</w:t>
      </w:r>
      <w:r w:rsidRPr="00C7097B">
        <w:rPr>
          <w:rFonts w:asciiTheme="majorHAnsi" w:hAnsiTheme="majorHAnsi" w:cs="Times New Roman"/>
          <w:sz w:val="18"/>
          <w:lang w:val="es-CR"/>
        </w:rPr>
        <w:t>, así</w:t>
      </w:r>
      <w:r>
        <w:rPr>
          <w:rFonts w:asciiTheme="majorHAnsi" w:hAnsiTheme="majorHAnsi" w:cs="Times New Roman"/>
          <w:sz w:val="18"/>
          <w:lang w:val="es-CR"/>
        </w:rPr>
        <w:t xml:space="preserve"> </w:t>
      </w:r>
      <w:r w:rsidRPr="00C7097B">
        <w:rPr>
          <w:rFonts w:asciiTheme="majorHAnsi" w:hAnsiTheme="majorHAnsi" w:cs="Times New Roman"/>
          <w:sz w:val="18"/>
          <w:lang w:val="es-CR"/>
        </w:rPr>
        <w:t xml:space="preserve">como </w:t>
      </w:r>
      <w:r w:rsidRPr="00C7097B">
        <w:rPr>
          <w:rFonts w:asciiTheme="majorHAnsi" w:hAnsiTheme="majorHAnsi" w:cs="Times New Roman"/>
          <w:b/>
          <w:sz w:val="18"/>
          <w:lang w:val="es-CR"/>
        </w:rPr>
        <w:t>Catalina Núñez</w:t>
      </w:r>
      <w:r w:rsidRPr="00C7097B">
        <w:rPr>
          <w:rFonts w:asciiTheme="majorHAnsi" w:hAnsiTheme="majorHAnsi" w:cs="Times New Roman"/>
          <w:sz w:val="18"/>
          <w:lang w:val="es-CR"/>
        </w:rPr>
        <w:t xml:space="preserve">, </w:t>
      </w:r>
      <w:r w:rsidRPr="00C7097B">
        <w:rPr>
          <w:rFonts w:asciiTheme="majorHAnsi" w:hAnsiTheme="majorHAnsi" w:cs="Times New Roman"/>
          <w:b/>
          <w:sz w:val="18"/>
          <w:lang w:val="es-CR"/>
        </w:rPr>
        <w:t>Consultora Senior de Deloitte</w:t>
      </w:r>
      <w:r w:rsidRPr="00C7097B">
        <w:rPr>
          <w:rFonts w:asciiTheme="majorHAnsi" w:hAnsiTheme="majorHAnsi" w:cs="Times New Roman"/>
          <w:sz w:val="18"/>
          <w:lang w:val="es-CR"/>
        </w:rPr>
        <w:t>.</w:t>
      </w:r>
      <w:r>
        <w:rPr>
          <w:rFonts w:asciiTheme="majorHAnsi" w:hAnsiTheme="majorHAnsi" w:cs="Times New Roman"/>
          <w:sz w:val="18"/>
          <w:lang w:val="es-CR"/>
        </w:rPr>
        <w:t xml:space="preserve"> </w:t>
      </w:r>
      <w:r w:rsidRPr="00C7097B">
        <w:rPr>
          <w:rFonts w:asciiTheme="majorHAnsi" w:hAnsiTheme="majorHAnsi" w:cs="Times New Roman"/>
          <w:i/>
          <w:sz w:val="18"/>
          <w:lang w:val="es-CR"/>
        </w:rPr>
        <w:t>“En particular este estudio ha generado gran interés en el mercado por dos razones fundamentales: la necesidad de contar con datos salariales en un sector dinámico y altamente sofisticado, pero sobre todo, por el reto que representa para las empresas nacionales atraer y retener este capital humano tecnificado”</w:t>
      </w:r>
      <w:r w:rsidRPr="00C7097B">
        <w:rPr>
          <w:rFonts w:asciiTheme="majorHAnsi" w:hAnsiTheme="majorHAnsi" w:cs="Times New Roman"/>
          <w:sz w:val="18"/>
          <w:lang w:val="es-CR"/>
        </w:rPr>
        <w:t>, comentó Sofía Calderón.</w:t>
      </w:r>
    </w:p>
    <w:p w:rsidR="00C7097B" w:rsidRPr="00183B0E" w:rsidRDefault="00C7097B" w:rsidP="0009750A">
      <w:pPr>
        <w:pStyle w:val="Sinespaciado"/>
        <w:jc w:val="both"/>
        <w:rPr>
          <w:rFonts w:asciiTheme="majorHAnsi" w:hAnsiTheme="majorHAnsi" w:cs="Times New Roman"/>
          <w:sz w:val="18"/>
          <w:lang w:val="es-CR"/>
        </w:rPr>
      </w:pPr>
    </w:p>
    <w:p w:rsidR="00C7097B" w:rsidRPr="00783194" w:rsidRDefault="00C7097B" w:rsidP="0009750A">
      <w:pPr>
        <w:pStyle w:val="Sinespaciado"/>
        <w:jc w:val="both"/>
        <w:rPr>
          <w:rFonts w:asciiTheme="majorHAnsi" w:hAnsiTheme="majorHAnsi" w:cs="Times New Roman"/>
          <w:i/>
          <w:sz w:val="18"/>
          <w:lang w:val="es-CR"/>
        </w:rPr>
      </w:pPr>
      <w:r w:rsidRPr="00183B0E">
        <w:rPr>
          <w:rFonts w:asciiTheme="majorHAnsi" w:hAnsiTheme="majorHAnsi" w:cs="Times New Roman"/>
          <w:sz w:val="18"/>
          <w:lang w:val="es-CR"/>
        </w:rPr>
        <w:t xml:space="preserve">En cuanto a la alta participación de los </w:t>
      </w:r>
      <w:proofErr w:type="spellStart"/>
      <w:r w:rsidRPr="00246233">
        <w:rPr>
          <w:rFonts w:asciiTheme="majorHAnsi" w:hAnsiTheme="majorHAnsi" w:cs="Times New Roman"/>
          <w:i/>
          <w:sz w:val="18"/>
          <w:lang w:val="es-CR"/>
        </w:rPr>
        <w:t>Millennials</w:t>
      </w:r>
      <w:proofErr w:type="spellEnd"/>
      <w:r w:rsidRPr="00246233">
        <w:rPr>
          <w:rFonts w:asciiTheme="majorHAnsi" w:hAnsiTheme="majorHAnsi" w:cs="Times New Roman"/>
          <w:i/>
          <w:sz w:val="18"/>
          <w:lang w:val="es-CR"/>
        </w:rPr>
        <w:t xml:space="preserve"> </w:t>
      </w:r>
      <w:r w:rsidRPr="00183B0E">
        <w:rPr>
          <w:rFonts w:asciiTheme="majorHAnsi" w:hAnsiTheme="majorHAnsi" w:cs="Times New Roman"/>
          <w:sz w:val="18"/>
          <w:lang w:val="es-CR"/>
        </w:rPr>
        <w:t>en este sector, Cristina Cubero, Directora de Human</w:t>
      </w:r>
      <w:r w:rsidR="00632116" w:rsidRPr="00183B0E">
        <w:rPr>
          <w:rFonts w:asciiTheme="majorHAnsi" w:hAnsiTheme="majorHAnsi" w:cs="Times New Roman"/>
          <w:sz w:val="18"/>
          <w:lang w:val="es-CR"/>
        </w:rPr>
        <w:t xml:space="preserve"> Capital comentó que</w:t>
      </w:r>
      <w:r w:rsidR="00632116" w:rsidRPr="00783194">
        <w:rPr>
          <w:rFonts w:asciiTheme="majorHAnsi" w:hAnsiTheme="majorHAnsi" w:cs="Times New Roman"/>
          <w:i/>
          <w:sz w:val="18"/>
          <w:lang w:val="es-CR"/>
        </w:rPr>
        <w:t xml:space="preserve"> “</w:t>
      </w:r>
      <w:r w:rsidR="00632116" w:rsidRPr="00632116">
        <w:rPr>
          <w:rFonts w:asciiTheme="majorHAnsi" w:hAnsiTheme="majorHAnsi" w:cs="Times New Roman"/>
          <w:i/>
          <w:sz w:val="18"/>
          <w:lang w:val="es-CR"/>
        </w:rPr>
        <w:t xml:space="preserve">los resultados de este estudio </w:t>
      </w:r>
      <w:r w:rsidR="00A35CAC" w:rsidRPr="00D05281">
        <w:rPr>
          <w:rFonts w:asciiTheme="majorHAnsi" w:hAnsiTheme="majorHAnsi" w:cs="Times New Roman"/>
          <w:i/>
          <w:sz w:val="18"/>
          <w:lang w:val="es-CR"/>
        </w:rPr>
        <w:t>m</w:t>
      </w:r>
      <w:r w:rsidR="00632116" w:rsidRPr="00D05281">
        <w:rPr>
          <w:rFonts w:asciiTheme="majorHAnsi" w:hAnsiTheme="majorHAnsi" w:cs="Times New Roman"/>
          <w:i/>
          <w:sz w:val="18"/>
          <w:lang w:val="es-CR"/>
        </w:rPr>
        <w:t>uestra</w:t>
      </w:r>
      <w:r w:rsidR="00A35CAC">
        <w:rPr>
          <w:rFonts w:asciiTheme="majorHAnsi" w:hAnsiTheme="majorHAnsi" w:cs="Times New Roman"/>
          <w:i/>
          <w:sz w:val="18"/>
          <w:lang w:val="es-CR"/>
        </w:rPr>
        <w:t xml:space="preserve"> </w:t>
      </w:r>
      <w:r w:rsidR="00632116" w:rsidRPr="00632116">
        <w:rPr>
          <w:rFonts w:asciiTheme="majorHAnsi" w:hAnsiTheme="majorHAnsi" w:cs="Times New Roman"/>
          <w:i/>
          <w:sz w:val="18"/>
          <w:lang w:val="es-CR"/>
        </w:rPr>
        <w:t>que los jóvenes están moviendo el cambio no solo en este sector de las tecnologías, también al resto de las industrias del país. Y mostró</w:t>
      </w:r>
      <w:r w:rsidR="00783194">
        <w:rPr>
          <w:rFonts w:asciiTheme="majorHAnsi" w:hAnsiTheme="majorHAnsi" w:cs="Times New Roman"/>
          <w:i/>
          <w:sz w:val="18"/>
          <w:lang w:val="es-CR"/>
        </w:rPr>
        <w:t xml:space="preserve"> además que l</w:t>
      </w:r>
      <w:r w:rsidR="00B04683">
        <w:rPr>
          <w:rFonts w:asciiTheme="majorHAnsi" w:hAnsiTheme="majorHAnsi" w:cs="Times New Roman"/>
          <w:i/>
          <w:sz w:val="18"/>
          <w:lang w:val="es-CR"/>
        </w:rPr>
        <w:t>os jóvenes cuentan</w:t>
      </w:r>
      <w:r w:rsidR="00632116" w:rsidRPr="00632116">
        <w:rPr>
          <w:rFonts w:asciiTheme="majorHAnsi" w:hAnsiTheme="majorHAnsi" w:cs="Times New Roman"/>
          <w:i/>
          <w:sz w:val="18"/>
          <w:lang w:val="es-CR"/>
        </w:rPr>
        <w:t xml:space="preserve"> con un mejor manejo de idiomas y conocimientos duales necesarios en el mundo del trabajo del futuro”.</w:t>
      </w:r>
    </w:p>
    <w:p w:rsidR="00C7097B" w:rsidRPr="00C7097B" w:rsidRDefault="00C7097B" w:rsidP="0009750A">
      <w:pPr>
        <w:pStyle w:val="Sinespaciado"/>
        <w:jc w:val="both"/>
        <w:rPr>
          <w:rFonts w:asciiTheme="majorHAnsi" w:hAnsiTheme="majorHAnsi" w:cs="Times New Roman"/>
          <w:sz w:val="18"/>
          <w:lang w:val="es-CR"/>
        </w:rPr>
      </w:pPr>
    </w:p>
    <w:p w:rsidR="00C7097B" w:rsidRPr="00C7097B" w:rsidRDefault="00C7097B" w:rsidP="0009750A">
      <w:pPr>
        <w:pStyle w:val="Sinespaciado"/>
        <w:jc w:val="both"/>
        <w:rPr>
          <w:rFonts w:asciiTheme="majorHAnsi" w:hAnsiTheme="majorHAnsi" w:cs="Times New Roman"/>
          <w:sz w:val="18"/>
          <w:lang w:val="es-CR"/>
        </w:rPr>
      </w:pPr>
      <w:r w:rsidRPr="00C7097B">
        <w:rPr>
          <w:rFonts w:asciiTheme="majorHAnsi" w:hAnsiTheme="majorHAnsi" w:cs="Times New Roman"/>
          <w:sz w:val="18"/>
          <w:lang w:val="es-CR"/>
        </w:rPr>
        <w:t xml:space="preserve">Por su parte, </w:t>
      </w:r>
      <w:r w:rsidRPr="00C7097B">
        <w:rPr>
          <w:rFonts w:asciiTheme="majorHAnsi" w:hAnsiTheme="majorHAnsi" w:cs="Times New Roman"/>
          <w:b/>
          <w:sz w:val="18"/>
          <w:lang w:val="es-CR"/>
        </w:rPr>
        <w:t>Otto Rivera</w:t>
      </w:r>
      <w:r w:rsidRPr="00C7097B">
        <w:rPr>
          <w:rFonts w:asciiTheme="majorHAnsi" w:hAnsiTheme="majorHAnsi" w:cs="Times New Roman"/>
          <w:sz w:val="18"/>
          <w:lang w:val="es-CR"/>
        </w:rPr>
        <w:t xml:space="preserve">, </w:t>
      </w:r>
      <w:r w:rsidRPr="00C7097B">
        <w:rPr>
          <w:rFonts w:asciiTheme="majorHAnsi" w:hAnsiTheme="majorHAnsi" w:cs="Times New Roman"/>
          <w:b/>
          <w:sz w:val="18"/>
          <w:lang w:val="es-CR"/>
        </w:rPr>
        <w:t>Director Ejecutivo de CAMTIC</w:t>
      </w:r>
      <w:r w:rsidRPr="00C7097B">
        <w:rPr>
          <w:rFonts w:asciiTheme="majorHAnsi" w:hAnsiTheme="majorHAnsi" w:cs="Times New Roman"/>
          <w:sz w:val="18"/>
          <w:lang w:val="es-CR"/>
        </w:rPr>
        <w:t xml:space="preserve"> indicó </w:t>
      </w:r>
      <w:r w:rsidRPr="00C7097B">
        <w:rPr>
          <w:rFonts w:asciiTheme="majorHAnsi" w:hAnsiTheme="majorHAnsi" w:cs="Times New Roman"/>
          <w:i/>
          <w:sz w:val="18"/>
          <w:lang w:val="es-CR"/>
        </w:rPr>
        <w:t>“Este tipo de estudios salariales sectorizados pretende dotar a las empresas de información relevante respecto a salarios, beneficios y mejores prácticas para construir y potenciar una marca empleador en industrias altamente competitivas. El acceso a la información integral de este Estudio es por medio de una plataforma administrada y comercializada por Deloitte.”</w:t>
      </w:r>
    </w:p>
    <w:p w:rsidR="00C7097B" w:rsidRDefault="00C7097B" w:rsidP="0009750A">
      <w:pPr>
        <w:pStyle w:val="Sinespaciado"/>
        <w:jc w:val="both"/>
        <w:rPr>
          <w:rFonts w:asciiTheme="majorHAnsi" w:hAnsiTheme="majorHAnsi" w:cs="Times New Roman"/>
          <w:sz w:val="18"/>
          <w:lang w:val="es-CR"/>
        </w:rPr>
      </w:pPr>
    </w:p>
    <w:p w:rsidR="0009750A" w:rsidRDefault="0009750A" w:rsidP="0009750A">
      <w:pPr>
        <w:pStyle w:val="Sinespaciado"/>
        <w:jc w:val="both"/>
        <w:rPr>
          <w:rFonts w:asciiTheme="majorHAnsi" w:hAnsiTheme="majorHAnsi" w:cs="Times New Roman"/>
          <w:b/>
          <w:sz w:val="18"/>
          <w:lang w:val="es-CR"/>
        </w:rPr>
      </w:pPr>
    </w:p>
    <w:p w:rsidR="0009750A" w:rsidRDefault="0009750A" w:rsidP="0009750A">
      <w:pPr>
        <w:pStyle w:val="Sinespaciado"/>
        <w:jc w:val="both"/>
        <w:rPr>
          <w:rFonts w:asciiTheme="majorHAnsi" w:hAnsiTheme="majorHAnsi" w:cs="Times New Roman"/>
          <w:b/>
          <w:sz w:val="18"/>
          <w:lang w:val="es-CR"/>
        </w:rPr>
      </w:pPr>
    </w:p>
    <w:p w:rsidR="00C7097B" w:rsidRPr="00C7097B" w:rsidRDefault="00C7097B" w:rsidP="0009750A">
      <w:pPr>
        <w:pStyle w:val="Sinespaciado"/>
        <w:jc w:val="both"/>
        <w:rPr>
          <w:rFonts w:asciiTheme="majorHAnsi" w:hAnsiTheme="majorHAnsi" w:cs="Times New Roman"/>
          <w:b/>
          <w:sz w:val="18"/>
          <w:lang w:val="es-CR"/>
        </w:rPr>
      </w:pPr>
      <w:r w:rsidRPr="00C7097B">
        <w:rPr>
          <w:rFonts w:asciiTheme="majorHAnsi" w:hAnsiTheme="majorHAnsi" w:cs="Times New Roman"/>
          <w:b/>
          <w:sz w:val="18"/>
          <w:lang w:val="es-CR"/>
        </w:rPr>
        <w:t>Resultados relevantes</w:t>
      </w:r>
    </w:p>
    <w:p w:rsidR="00C7097B" w:rsidRPr="00C7097B" w:rsidRDefault="00C7097B" w:rsidP="0009750A">
      <w:pPr>
        <w:pStyle w:val="Sinespaciado"/>
        <w:jc w:val="both"/>
        <w:rPr>
          <w:rFonts w:asciiTheme="majorHAnsi" w:hAnsiTheme="majorHAnsi" w:cs="Times New Roman"/>
          <w:sz w:val="18"/>
          <w:lang w:val="es-CR"/>
        </w:rPr>
      </w:pPr>
    </w:p>
    <w:p w:rsidR="00C7097B" w:rsidRPr="00C7097B" w:rsidRDefault="00C7097B" w:rsidP="0009750A">
      <w:pPr>
        <w:pStyle w:val="Sinespaciado"/>
        <w:jc w:val="both"/>
        <w:rPr>
          <w:rFonts w:asciiTheme="majorHAnsi" w:hAnsiTheme="majorHAnsi" w:cs="Times New Roman"/>
          <w:sz w:val="18"/>
          <w:lang w:val="es-CR"/>
        </w:rPr>
      </w:pPr>
      <w:r w:rsidRPr="00C7097B">
        <w:rPr>
          <w:rFonts w:asciiTheme="majorHAnsi" w:hAnsiTheme="majorHAnsi" w:cs="Times New Roman"/>
          <w:sz w:val="18"/>
          <w:lang w:val="es-CR"/>
        </w:rPr>
        <w:t>Como dato general, Deloitte encontró que el 89% de los colaboradores del sector TIC recibió un aumento salarial en el último año y que el porcentaje de aumento salarial para posiciones profesionales fue de 4.67% por encima del porcentaje de inflación y los decretos de aumentos salariales aplicables.</w:t>
      </w:r>
    </w:p>
    <w:p w:rsidR="00C7097B" w:rsidRPr="00C7097B" w:rsidRDefault="00C7097B" w:rsidP="0009750A">
      <w:pPr>
        <w:pStyle w:val="Sinespaciado"/>
        <w:jc w:val="both"/>
        <w:rPr>
          <w:rFonts w:asciiTheme="majorHAnsi" w:hAnsiTheme="majorHAnsi" w:cs="Times New Roman"/>
          <w:sz w:val="18"/>
          <w:lang w:val="es-CR"/>
        </w:rPr>
      </w:pPr>
    </w:p>
    <w:p w:rsidR="00C7097B" w:rsidRPr="00C7097B" w:rsidRDefault="00C7097B" w:rsidP="0009750A">
      <w:pPr>
        <w:pStyle w:val="Sinespaciado"/>
        <w:jc w:val="both"/>
        <w:rPr>
          <w:rFonts w:asciiTheme="majorHAnsi" w:hAnsiTheme="majorHAnsi" w:cs="Times New Roman"/>
          <w:sz w:val="18"/>
          <w:lang w:val="es-CR"/>
        </w:rPr>
      </w:pPr>
      <w:r w:rsidRPr="00C7097B">
        <w:rPr>
          <w:rFonts w:asciiTheme="majorHAnsi" w:hAnsiTheme="majorHAnsi" w:cs="Times New Roman"/>
          <w:sz w:val="18"/>
          <w:lang w:val="es-CR"/>
        </w:rPr>
        <w:t>En términos salariales se identificó que, incluso en posiciones de carácter comercial, norma la estructura de remuneración fija, entiéndase salario base y otra remuneración garantizada versus el esquema de compensación variable que apenas representa un 10 % de la remuneración total.</w:t>
      </w:r>
    </w:p>
    <w:p w:rsidR="00C7097B" w:rsidRPr="00C7097B" w:rsidRDefault="00C7097B" w:rsidP="0009750A">
      <w:pPr>
        <w:pStyle w:val="Sinespaciado"/>
        <w:jc w:val="both"/>
        <w:rPr>
          <w:rFonts w:asciiTheme="majorHAnsi" w:hAnsiTheme="majorHAnsi" w:cs="Times New Roman"/>
          <w:sz w:val="18"/>
          <w:lang w:val="es-CR"/>
        </w:rPr>
      </w:pPr>
    </w:p>
    <w:p w:rsidR="00C7097B" w:rsidRPr="00C7097B" w:rsidRDefault="00C7097B" w:rsidP="0009750A">
      <w:pPr>
        <w:pStyle w:val="Sinespaciado"/>
        <w:jc w:val="both"/>
        <w:rPr>
          <w:rFonts w:asciiTheme="majorHAnsi" w:hAnsiTheme="majorHAnsi" w:cs="Times New Roman"/>
          <w:sz w:val="18"/>
          <w:lang w:val="es-CR"/>
        </w:rPr>
      </w:pPr>
      <w:r w:rsidRPr="00C7097B">
        <w:rPr>
          <w:rFonts w:asciiTheme="majorHAnsi" w:hAnsiTheme="majorHAnsi" w:cs="Times New Roman"/>
          <w:sz w:val="18"/>
          <w:lang w:val="es-CR"/>
        </w:rPr>
        <w:t>También se aprecia una participación minoritaria de la mujer en posiciones técnicas específicas de la industria de apenas un 22% en contraste con la participación en otras posiciones funcionales.</w:t>
      </w:r>
    </w:p>
    <w:p w:rsidR="00C7097B" w:rsidRPr="00C7097B" w:rsidRDefault="00C7097B" w:rsidP="0009750A">
      <w:pPr>
        <w:pStyle w:val="Sinespaciado"/>
        <w:jc w:val="both"/>
        <w:rPr>
          <w:rFonts w:asciiTheme="majorHAnsi" w:hAnsiTheme="majorHAnsi" w:cs="Times New Roman"/>
          <w:sz w:val="18"/>
          <w:lang w:val="es-CR"/>
        </w:rPr>
      </w:pPr>
    </w:p>
    <w:p w:rsidR="00C7097B" w:rsidRPr="00C7097B" w:rsidRDefault="00C7097B" w:rsidP="0009750A">
      <w:pPr>
        <w:pStyle w:val="Sinespaciado"/>
        <w:jc w:val="both"/>
        <w:rPr>
          <w:rFonts w:asciiTheme="majorHAnsi" w:hAnsiTheme="majorHAnsi" w:cs="Times New Roman"/>
          <w:sz w:val="18"/>
          <w:lang w:val="es-CR"/>
        </w:rPr>
      </w:pPr>
      <w:r w:rsidRPr="003A6FE8">
        <w:rPr>
          <w:rFonts w:asciiTheme="majorHAnsi" w:hAnsiTheme="majorHAnsi" w:cs="Times New Roman"/>
          <w:sz w:val="18"/>
          <w:lang w:val="es-CR"/>
        </w:rPr>
        <w:t>Del Estudio también se desprenden datos cualitativos relacionados con beneficios y en este aspecto, destacan tres ámbitos de acción claros por parte de las empresas del sector</w:t>
      </w:r>
      <w:r w:rsidRPr="00C7097B">
        <w:rPr>
          <w:rFonts w:asciiTheme="majorHAnsi" w:hAnsiTheme="majorHAnsi" w:cs="Times New Roman"/>
          <w:sz w:val="18"/>
          <w:lang w:val="es-CR"/>
        </w:rPr>
        <w:t>:</w:t>
      </w:r>
      <w:r>
        <w:rPr>
          <w:rFonts w:asciiTheme="majorHAnsi" w:hAnsiTheme="majorHAnsi" w:cs="Times New Roman"/>
          <w:sz w:val="18"/>
          <w:lang w:val="es-CR"/>
        </w:rPr>
        <w:t xml:space="preserve"> </w:t>
      </w:r>
      <w:r w:rsidRPr="00C7097B">
        <w:rPr>
          <w:rFonts w:asciiTheme="majorHAnsi" w:hAnsiTheme="majorHAnsi" w:cs="Times New Roman"/>
          <w:sz w:val="18"/>
          <w:lang w:val="es-CR"/>
        </w:rPr>
        <w:t xml:space="preserve">actividades de integración, fuerte capacitación y esquemas flexibles de trabajo, lo cual no sorprende dada la concentración de </w:t>
      </w:r>
      <w:proofErr w:type="spellStart"/>
      <w:r w:rsidRPr="00C7097B">
        <w:rPr>
          <w:rFonts w:asciiTheme="majorHAnsi" w:hAnsiTheme="majorHAnsi" w:cs="Times New Roman"/>
          <w:i/>
          <w:sz w:val="18"/>
          <w:lang w:val="es-CR"/>
        </w:rPr>
        <w:t>millennials</w:t>
      </w:r>
      <w:proofErr w:type="spellEnd"/>
      <w:r w:rsidRPr="00C7097B">
        <w:rPr>
          <w:rFonts w:asciiTheme="majorHAnsi" w:hAnsiTheme="majorHAnsi" w:cs="Times New Roman"/>
          <w:sz w:val="18"/>
          <w:lang w:val="es-CR"/>
        </w:rPr>
        <w:t xml:space="preserve"> en el sector.</w:t>
      </w:r>
      <w:r>
        <w:rPr>
          <w:rFonts w:asciiTheme="majorHAnsi" w:hAnsiTheme="majorHAnsi" w:cs="Times New Roman"/>
          <w:sz w:val="18"/>
          <w:lang w:val="es-CR"/>
        </w:rPr>
        <w:t xml:space="preserve"> </w:t>
      </w:r>
      <w:r w:rsidRPr="00C7097B">
        <w:rPr>
          <w:rFonts w:asciiTheme="majorHAnsi" w:hAnsiTheme="majorHAnsi" w:cs="Times New Roman"/>
          <w:sz w:val="18"/>
          <w:lang w:val="es-CR"/>
        </w:rPr>
        <w:t xml:space="preserve">Estos tres beneficios encabezan la lista y se brindan en el 80% de las empresas participantes. La modalidad para capacitación preferida por las empresas es la externa seguida de las plataformas de </w:t>
      </w:r>
      <w:r w:rsidRPr="00C7097B">
        <w:rPr>
          <w:rFonts w:asciiTheme="majorHAnsi" w:hAnsiTheme="majorHAnsi" w:cs="Times New Roman"/>
          <w:i/>
          <w:sz w:val="18"/>
          <w:lang w:val="es-CR"/>
        </w:rPr>
        <w:t>e-learnin</w:t>
      </w:r>
      <w:r w:rsidRPr="00C7097B">
        <w:rPr>
          <w:rFonts w:asciiTheme="majorHAnsi" w:hAnsiTheme="majorHAnsi" w:cs="Times New Roman"/>
          <w:sz w:val="18"/>
          <w:lang w:val="es-CR"/>
        </w:rPr>
        <w:t>g.</w:t>
      </w:r>
    </w:p>
    <w:p w:rsidR="00C7097B" w:rsidRPr="00C7097B" w:rsidRDefault="00C7097B" w:rsidP="0009750A">
      <w:pPr>
        <w:pStyle w:val="Sinespaciado"/>
        <w:jc w:val="both"/>
        <w:rPr>
          <w:rFonts w:asciiTheme="majorHAnsi" w:hAnsiTheme="majorHAnsi" w:cs="Times New Roman"/>
          <w:sz w:val="18"/>
          <w:lang w:val="es-CR"/>
        </w:rPr>
      </w:pPr>
    </w:p>
    <w:p w:rsidR="00C7097B" w:rsidRPr="00C7097B" w:rsidRDefault="00C7097B" w:rsidP="0009750A">
      <w:pPr>
        <w:pStyle w:val="Sinespaciado"/>
        <w:jc w:val="both"/>
        <w:rPr>
          <w:rFonts w:asciiTheme="majorHAnsi" w:hAnsiTheme="majorHAnsi" w:cs="Times New Roman"/>
          <w:sz w:val="18"/>
          <w:lang w:val="es-CR"/>
        </w:rPr>
      </w:pPr>
      <w:r w:rsidRPr="00C7097B">
        <w:rPr>
          <w:rFonts w:asciiTheme="majorHAnsi" w:hAnsiTheme="majorHAnsi" w:cs="Times New Roman"/>
          <w:sz w:val="18"/>
          <w:lang w:val="es-CR"/>
        </w:rPr>
        <w:t>En el índice de rotación anual para el 2016 pueden observarse dos claras vertientes; 20% de las empresas reportó una rotación menor de 5% mientras que un 27% de la muestra señalo una rotación superior al 25%.</w:t>
      </w:r>
    </w:p>
    <w:p w:rsidR="00E25A5B" w:rsidRPr="00C7097B" w:rsidRDefault="00FD65D3" w:rsidP="0009750A">
      <w:pPr>
        <w:pStyle w:val="Sinespaciado"/>
        <w:jc w:val="both"/>
        <w:rPr>
          <w:rFonts w:asciiTheme="majorHAnsi" w:hAnsiTheme="majorHAnsi" w:cs="Times New Roman"/>
          <w:sz w:val="18"/>
          <w:lang w:val="es-CR"/>
        </w:rPr>
      </w:pPr>
      <w:r>
        <w:rPr>
          <w:rFonts w:asciiTheme="majorHAnsi" w:hAnsiTheme="majorHAnsi" w:cs="Times New Roman"/>
          <w:sz w:val="18"/>
          <w:lang w:val="es-CR"/>
        </w:rPr>
        <w:t xml:space="preserve"> </w:t>
      </w:r>
    </w:p>
    <w:p w:rsidR="00024E8F" w:rsidRDefault="00C7097B" w:rsidP="0009750A">
      <w:pPr>
        <w:pStyle w:val="Sinespaciado"/>
        <w:jc w:val="both"/>
        <w:rPr>
          <w:rFonts w:asciiTheme="majorHAnsi" w:hAnsiTheme="majorHAnsi" w:cs="Times New Roman"/>
          <w:sz w:val="18"/>
          <w:lang w:val="es-CR"/>
        </w:rPr>
      </w:pPr>
      <w:r w:rsidRPr="00C7097B">
        <w:rPr>
          <w:rFonts w:asciiTheme="majorHAnsi" w:hAnsiTheme="majorHAnsi" w:cs="Times New Roman"/>
          <w:sz w:val="18"/>
          <w:lang w:val="es-CR"/>
        </w:rPr>
        <w:t>Finalmente</w:t>
      </w:r>
      <w:r w:rsidR="00C12332" w:rsidRPr="00C12332">
        <w:rPr>
          <w:rFonts w:asciiTheme="majorHAnsi" w:hAnsiTheme="majorHAnsi" w:cs="Times New Roman"/>
          <w:sz w:val="18"/>
          <w:lang w:val="es-CR"/>
        </w:rPr>
        <w:t xml:space="preserve">, </w:t>
      </w:r>
      <w:r w:rsidR="0038405F" w:rsidRPr="00C12332">
        <w:rPr>
          <w:rFonts w:asciiTheme="majorHAnsi" w:hAnsiTheme="majorHAnsi" w:cs="Times New Roman"/>
          <w:sz w:val="18"/>
          <w:lang w:val="es-CR"/>
        </w:rPr>
        <w:t>los departamentos</w:t>
      </w:r>
      <w:r w:rsidR="00C12332">
        <w:rPr>
          <w:rFonts w:asciiTheme="majorHAnsi" w:hAnsiTheme="majorHAnsi" w:cs="Times New Roman"/>
          <w:sz w:val="18"/>
          <w:lang w:val="es-CR"/>
        </w:rPr>
        <w:t xml:space="preserve"> </w:t>
      </w:r>
      <w:r w:rsidRPr="00C7097B">
        <w:rPr>
          <w:rFonts w:asciiTheme="majorHAnsi" w:hAnsiTheme="majorHAnsi" w:cs="Times New Roman"/>
          <w:sz w:val="18"/>
          <w:lang w:val="es-CR"/>
        </w:rPr>
        <w:t xml:space="preserve">de recursos humanos de las empresas participantes refieren que </w:t>
      </w:r>
      <w:r w:rsidRPr="007027EC">
        <w:rPr>
          <w:rFonts w:asciiTheme="majorHAnsi" w:hAnsiTheme="majorHAnsi" w:cs="Times New Roman"/>
          <w:sz w:val="18"/>
          <w:lang w:val="es-CR"/>
        </w:rPr>
        <w:t>las áreas</w:t>
      </w:r>
      <w:r w:rsidRPr="00C7097B">
        <w:rPr>
          <w:rFonts w:asciiTheme="majorHAnsi" w:hAnsiTheme="majorHAnsi" w:cs="Times New Roman"/>
          <w:sz w:val="18"/>
          <w:lang w:val="es-CR"/>
        </w:rPr>
        <w:t xml:space="preserve"> de oportunidad se encuentran asociadas a políticas de plan de carrera y la necesidad de un esquema de evaluación de desempeño estrechamente ligado al esquema de remuneración variable.</w:t>
      </w:r>
    </w:p>
    <w:p w:rsidR="00024E8F" w:rsidRDefault="00024E8F" w:rsidP="0009750A">
      <w:pPr>
        <w:pStyle w:val="Sinespaciado"/>
        <w:jc w:val="both"/>
        <w:rPr>
          <w:rFonts w:asciiTheme="majorHAnsi" w:hAnsiTheme="majorHAnsi" w:cs="Times New Roman"/>
          <w:sz w:val="18"/>
          <w:lang w:val="es-CR"/>
        </w:rPr>
      </w:pPr>
    </w:p>
    <w:p w:rsidR="00024E8F" w:rsidRDefault="00024E8F" w:rsidP="0009750A">
      <w:pPr>
        <w:pStyle w:val="Sinespaciado"/>
        <w:jc w:val="both"/>
        <w:rPr>
          <w:rFonts w:asciiTheme="majorHAnsi" w:hAnsiTheme="majorHAnsi" w:cs="Times New Roman"/>
          <w:sz w:val="18"/>
          <w:lang w:val="es-CR"/>
        </w:rPr>
      </w:pPr>
      <w:r>
        <w:rPr>
          <w:rFonts w:asciiTheme="majorHAnsi" w:hAnsiTheme="majorHAnsi" w:cs="Times New Roman"/>
          <w:sz w:val="18"/>
          <w:lang w:val="es-CR"/>
        </w:rPr>
        <w:t>##########################################################</w:t>
      </w:r>
    </w:p>
    <w:p w:rsidR="00024E8F" w:rsidRDefault="00024E8F" w:rsidP="0009750A">
      <w:pPr>
        <w:pStyle w:val="Sinespaciado"/>
        <w:jc w:val="both"/>
        <w:rPr>
          <w:rFonts w:asciiTheme="majorHAnsi" w:hAnsiTheme="majorHAnsi" w:cs="Times New Roman"/>
          <w:sz w:val="18"/>
          <w:lang w:val="es-CR"/>
        </w:rPr>
      </w:pPr>
    </w:p>
    <w:p w:rsidR="00024E8F" w:rsidRPr="00024E8F" w:rsidRDefault="00024E8F" w:rsidP="0009750A">
      <w:pPr>
        <w:pStyle w:val="Sinespaciado"/>
        <w:jc w:val="both"/>
        <w:rPr>
          <w:rFonts w:asciiTheme="majorHAnsi" w:hAnsiTheme="majorHAnsi" w:cs="Times New Roman"/>
          <w:b/>
          <w:sz w:val="16"/>
          <w:lang w:val="es-CR"/>
        </w:rPr>
      </w:pPr>
      <w:r w:rsidRPr="00024E8F">
        <w:rPr>
          <w:rFonts w:asciiTheme="majorHAnsi" w:hAnsiTheme="majorHAnsi" w:cs="Times New Roman"/>
          <w:b/>
          <w:sz w:val="16"/>
          <w:lang w:val="es-CR"/>
        </w:rPr>
        <w:t>Acerca</w:t>
      </w:r>
      <w:r w:rsidR="00001E30">
        <w:rPr>
          <w:rFonts w:asciiTheme="majorHAnsi" w:hAnsiTheme="majorHAnsi" w:cs="Times New Roman"/>
          <w:b/>
          <w:sz w:val="16"/>
          <w:lang w:val="es-CR"/>
        </w:rPr>
        <w:t xml:space="preserve"> </w:t>
      </w:r>
      <w:r w:rsidRPr="00024E8F">
        <w:rPr>
          <w:rFonts w:asciiTheme="majorHAnsi" w:hAnsiTheme="majorHAnsi" w:cs="Times New Roman"/>
          <w:b/>
          <w:sz w:val="16"/>
          <w:lang w:val="es-CR"/>
        </w:rPr>
        <w:t>de</w:t>
      </w:r>
      <w:r w:rsidR="00001E30">
        <w:rPr>
          <w:rFonts w:asciiTheme="majorHAnsi" w:hAnsiTheme="majorHAnsi" w:cs="Times New Roman"/>
          <w:b/>
          <w:sz w:val="16"/>
          <w:lang w:val="es-CR"/>
        </w:rPr>
        <w:t xml:space="preserve"> </w:t>
      </w:r>
      <w:r w:rsidRPr="00024E8F">
        <w:rPr>
          <w:rFonts w:asciiTheme="majorHAnsi" w:hAnsiTheme="majorHAnsi" w:cs="Times New Roman"/>
          <w:b/>
          <w:sz w:val="16"/>
          <w:lang w:val="es-CR"/>
        </w:rPr>
        <w:t>Deloitte</w:t>
      </w:r>
    </w:p>
    <w:p w:rsidR="00024E8F" w:rsidRPr="00024E8F" w:rsidRDefault="00024E8F" w:rsidP="0009750A">
      <w:pPr>
        <w:pStyle w:val="Sinespaciado"/>
        <w:jc w:val="both"/>
        <w:rPr>
          <w:rFonts w:asciiTheme="majorHAnsi" w:hAnsiTheme="majorHAnsi" w:cs="Times New Roman"/>
          <w:sz w:val="16"/>
          <w:lang w:val="es-419"/>
        </w:rPr>
      </w:pPr>
      <w:r w:rsidRPr="00024E8F">
        <w:rPr>
          <w:rFonts w:asciiTheme="majorHAnsi" w:hAnsiTheme="majorHAnsi" w:cs="Times New Roman"/>
          <w:sz w:val="16"/>
          <w:lang w:val="es-419"/>
        </w:rPr>
        <w:t>Deloitte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se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refiere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a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una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o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más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proofErr w:type="spellStart"/>
      <w:r w:rsidRPr="00024E8F">
        <w:rPr>
          <w:rFonts w:asciiTheme="majorHAnsi" w:hAnsiTheme="majorHAnsi" w:cs="Times New Roman"/>
          <w:sz w:val="16"/>
          <w:lang w:val="es-419"/>
        </w:rPr>
        <w:t>Deloitte</w:t>
      </w:r>
      <w:proofErr w:type="spellEnd"/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proofErr w:type="spellStart"/>
      <w:r w:rsidRPr="00024E8F">
        <w:rPr>
          <w:rFonts w:asciiTheme="majorHAnsi" w:hAnsiTheme="majorHAnsi" w:cs="Times New Roman"/>
          <w:sz w:val="16"/>
          <w:lang w:val="es-419"/>
        </w:rPr>
        <w:t>Touche</w:t>
      </w:r>
      <w:proofErr w:type="spellEnd"/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proofErr w:type="spellStart"/>
      <w:r w:rsidRPr="00024E8F">
        <w:rPr>
          <w:rFonts w:asciiTheme="majorHAnsi" w:hAnsiTheme="majorHAnsi" w:cs="Times New Roman"/>
          <w:sz w:val="16"/>
          <w:lang w:val="es-419"/>
        </w:rPr>
        <w:t>Tohmatsu</w:t>
      </w:r>
      <w:proofErr w:type="spellEnd"/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proofErr w:type="spellStart"/>
      <w:r w:rsidRPr="00024E8F">
        <w:rPr>
          <w:rFonts w:asciiTheme="majorHAnsi" w:hAnsiTheme="majorHAnsi" w:cs="Times New Roman"/>
          <w:sz w:val="16"/>
          <w:lang w:val="es-419"/>
        </w:rPr>
        <w:t>Limited</w:t>
      </w:r>
      <w:proofErr w:type="spellEnd"/>
      <w:r w:rsidRPr="00024E8F">
        <w:rPr>
          <w:rFonts w:asciiTheme="majorHAnsi" w:hAnsiTheme="majorHAnsi" w:cs="Times New Roman"/>
          <w:sz w:val="16"/>
          <w:lang w:val="es-419"/>
        </w:rPr>
        <w:t>,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una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compañía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privada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de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garantía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limitada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del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Reino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Unido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("DTTL"),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y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a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su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red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de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firmas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miembro,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y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sus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entidades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relacionadas.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DTTL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y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cada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una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de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sus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firmas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miembro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es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una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entidad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legalmente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separada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e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independiente.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DTTL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(también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conocida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como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"Deloitte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Global")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no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provee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servicios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a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clientes.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Por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favor,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consulte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www.deloitte.com/about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para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una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descripción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detallada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de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nuestra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red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global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de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firmas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miembro.</w:t>
      </w:r>
    </w:p>
    <w:p w:rsidR="00024E8F" w:rsidRPr="00024E8F" w:rsidRDefault="00024E8F" w:rsidP="0009750A">
      <w:pPr>
        <w:pStyle w:val="Sinespaciado"/>
        <w:jc w:val="both"/>
        <w:rPr>
          <w:rFonts w:asciiTheme="majorHAnsi" w:hAnsiTheme="majorHAnsi" w:cs="Times New Roman"/>
          <w:sz w:val="16"/>
          <w:lang w:val="es-419"/>
        </w:rPr>
      </w:pPr>
    </w:p>
    <w:p w:rsidR="00024E8F" w:rsidRDefault="00024E8F" w:rsidP="0009750A">
      <w:pPr>
        <w:pStyle w:val="Sinespaciado"/>
        <w:jc w:val="both"/>
        <w:rPr>
          <w:rStyle w:val="Hipervnculo"/>
          <w:rFonts w:asciiTheme="majorHAnsi" w:hAnsiTheme="majorHAnsi" w:cs="Times New Roman"/>
          <w:sz w:val="16"/>
          <w:lang w:val="es-419"/>
        </w:rPr>
      </w:pPr>
      <w:r w:rsidRPr="00024E8F">
        <w:rPr>
          <w:rFonts w:asciiTheme="majorHAnsi" w:hAnsiTheme="majorHAnsi" w:cs="Times New Roman"/>
          <w:sz w:val="16"/>
          <w:lang w:val="es-419"/>
        </w:rPr>
        <w:t>Deloitte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provee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servicios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de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auditoría,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consultoría,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asesoría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financiera,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gestión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en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riesgos,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impuestos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y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servicios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relacionados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a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clientes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públicos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y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privados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abarcando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múltiples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industrias.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Deloitte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atiende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cuatro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de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cada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cinco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compañías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del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proofErr w:type="spellStart"/>
      <w:r w:rsidRPr="00024E8F">
        <w:rPr>
          <w:rFonts w:asciiTheme="majorHAnsi" w:hAnsiTheme="majorHAnsi" w:cs="Times New Roman"/>
          <w:sz w:val="16"/>
          <w:lang w:val="es-419"/>
        </w:rPr>
        <w:t>Fortune</w:t>
      </w:r>
      <w:proofErr w:type="spellEnd"/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Global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500®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a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través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de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una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red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global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de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firmas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miembro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en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más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de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150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países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brindando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capacidades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de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clase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mundial,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conocimiento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y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servicio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de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alta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calidad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para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hacer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frente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a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los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desafíos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de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negocios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más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complejos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de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los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clientes.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Para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conocer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más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acerca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de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cómo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aproximadamente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245.000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profesionales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de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Deloitte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generan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un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impacto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que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 w:rsidRPr="00024E8F">
        <w:rPr>
          <w:rFonts w:asciiTheme="majorHAnsi" w:hAnsiTheme="majorHAnsi" w:cs="Times New Roman"/>
          <w:sz w:val="16"/>
          <w:lang w:val="es-419"/>
        </w:rPr>
        <w:t>trasciende,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>
        <w:rPr>
          <w:rFonts w:asciiTheme="majorHAnsi" w:hAnsiTheme="majorHAnsi" w:cs="Times New Roman"/>
          <w:sz w:val="16"/>
          <w:lang w:val="es-419"/>
        </w:rPr>
        <w:t>por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>
        <w:rPr>
          <w:rFonts w:asciiTheme="majorHAnsi" w:hAnsiTheme="majorHAnsi" w:cs="Times New Roman"/>
          <w:sz w:val="16"/>
          <w:lang w:val="es-419"/>
        </w:rPr>
        <w:t>favor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r>
        <w:rPr>
          <w:rFonts w:asciiTheme="majorHAnsi" w:hAnsiTheme="majorHAnsi" w:cs="Times New Roman"/>
          <w:sz w:val="16"/>
          <w:lang w:val="es-419"/>
        </w:rPr>
        <w:t>visite</w:t>
      </w:r>
      <w:r w:rsidR="00001E30">
        <w:rPr>
          <w:rFonts w:asciiTheme="majorHAnsi" w:hAnsiTheme="majorHAnsi" w:cs="Times New Roman"/>
          <w:sz w:val="16"/>
          <w:lang w:val="es-419"/>
        </w:rPr>
        <w:t xml:space="preserve"> </w:t>
      </w:r>
      <w:hyperlink r:id="rId9" w:history="1">
        <w:r w:rsidRPr="008356C2">
          <w:rPr>
            <w:rStyle w:val="Hipervnculo"/>
            <w:rFonts w:asciiTheme="majorHAnsi" w:hAnsiTheme="majorHAnsi" w:cs="Times New Roman"/>
            <w:sz w:val="16"/>
            <w:lang w:val="es-419"/>
          </w:rPr>
          <w:t>www.deloitte.com</w:t>
        </w:r>
      </w:hyperlink>
    </w:p>
    <w:p w:rsidR="0009750A" w:rsidRPr="0009750A" w:rsidRDefault="0009750A" w:rsidP="0009750A">
      <w:pPr>
        <w:pStyle w:val="Sinespaciado"/>
        <w:jc w:val="both"/>
      </w:pPr>
    </w:p>
    <w:p w:rsidR="0009750A" w:rsidRDefault="0009750A" w:rsidP="0009750A">
      <w:pPr>
        <w:pStyle w:val="Sinespaciado"/>
        <w:jc w:val="both"/>
        <w:rPr>
          <w:rFonts w:asciiTheme="majorHAnsi" w:hAnsiTheme="majorHAnsi" w:cs="Times New Roman"/>
          <w:b/>
          <w:bCs/>
          <w:sz w:val="16"/>
          <w:lang w:val="es-419"/>
        </w:rPr>
      </w:pPr>
      <w:r>
        <w:rPr>
          <w:rFonts w:asciiTheme="majorHAnsi" w:hAnsiTheme="majorHAnsi" w:cs="Times New Roman"/>
          <w:b/>
          <w:bCs/>
          <w:sz w:val="16"/>
          <w:lang w:val="es-419"/>
        </w:rPr>
        <w:t xml:space="preserve">Acerca de CAMTIC </w:t>
      </w:r>
    </w:p>
    <w:p w:rsidR="0009750A" w:rsidRDefault="0009750A" w:rsidP="0009750A">
      <w:pPr>
        <w:pStyle w:val="Sinespaciado"/>
        <w:jc w:val="both"/>
        <w:rPr>
          <w:rFonts w:asciiTheme="majorHAnsi" w:hAnsiTheme="majorHAnsi" w:cs="Times New Roman"/>
          <w:sz w:val="16"/>
          <w:lang w:val="es-419"/>
        </w:rPr>
      </w:pPr>
      <w:r w:rsidRPr="0009750A">
        <w:rPr>
          <w:rFonts w:asciiTheme="majorHAnsi" w:hAnsiTheme="majorHAnsi" w:cs="Times New Roman"/>
          <w:sz w:val="16"/>
          <w:lang w:val="es-419"/>
        </w:rPr>
        <w:t>La Cámara de Tecnologías de Información y Comunicación (CAMTIC) nació en 1998 como un bloque estratégico para fortalecer y apoyar al sector de las tecnologías de información y comunicación (TIC) de Costa Rica.</w:t>
      </w:r>
      <w:r w:rsidRPr="0009750A">
        <w:rPr>
          <w:rFonts w:asciiTheme="majorHAnsi" w:hAnsiTheme="majorHAnsi" w:cs="Times New Roman"/>
          <w:sz w:val="16"/>
          <w:lang w:val="es-419"/>
        </w:rPr>
        <w:br/>
      </w:r>
      <w:r w:rsidRPr="0009750A">
        <w:rPr>
          <w:rFonts w:asciiTheme="majorHAnsi" w:hAnsiTheme="majorHAnsi" w:cs="Times New Roman"/>
          <w:sz w:val="16"/>
          <w:lang w:val="es-419"/>
        </w:rPr>
        <w:br/>
      </w:r>
      <w:r w:rsidRPr="0009750A">
        <w:rPr>
          <w:rFonts w:asciiTheme="majorHAnsi" w:hAnsiTheme="majorHAnsi" w:cs="Times New Roman"/>
          <w:sz w:val="16"/>
          <w:lang w:val="es-419"/>
        </w:rPr>
        <w:t>Hoy en día agrupa a unas 200 empresas dedicadas a las tecnologías digitales en el país. En la actualidad ocupa la fiscalía de la Asociación Latinoamericana de Entidades de Tecnologías de Información (ALETI) y es miembro activo de la Alianza Mundial de Tecnologías de Información y Servicios (WITSA) y de la Federación Internacional de Asociaciones de Multimedia (FIAM). </w:t>
      </w:r>
    </w:p>
    <w:p w:rsidR="00024E8F" w:rsidRPr="00024E8F" w:rsidRDefault="00024E8F" w:rsidP="0009750A">
      <w:pPr>
        <w:pStyle w:val="Sinespaciado"/>
        <w:jc w:val="both"/>
        <w:rPr>
          <w:rFonts w:asciiTheme="majorHAnsi" w:hAnsiTheme="majorHAnsi" w:cs="Times New Roman"/>
          <w:sz w:val="16"/>
          <w:lang w:val="es-419"/>
        </w:rPr>
      </w:pPr>
      <w:bookmarkStart w:id="0" w:name="_GoBack"/>
      <w:bookmarkEnd w:id="0"/>
    </w:p>
    <w:sectPr w:rsidR="00024E8F" w:rsidRPr="00024E8F" w:rsidSect="00B37C41">
      <w:headerReference w:type="default" r:id="rId10"/>
      <w:footerReference w:type="default" r:id="rId11"/>
      <w:headerReference w:type="first" r:id="rId12"/>
      <w:footerReference w:type="first" r:id="rId13"/>
      <w:pgSz w:w="12242" w:h="15842" w:code="1"/>
      <w:pgMar w:top="1980" w:right="1247" w:bottom="1134" w:left="1247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316" w:rsidRDefault="00ED1316" w:rsidP="00C702C7">
      <w:pPr>
        <w:spacing w:line="240" w:lineRule="auto"/>
      </w:pPr>
      <w:r>
        <w:separator/>
      </w:r>
    </w:p>
  </w:endnote>
  <w:endnote w:type="continuationSeparator" w:id="0">
    <w:p w:rsidR="00ED1316" w:rsidRDefault="00ED1316" w:rsidP="00C702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3LTStd">
    <w:altName w:val="Helvetica 45 Light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F5C" w:rsidRDefault="00F15F5C" w:rsidP="0079305A">
    <w:pPr>
      <w:pStyle w:val="Piedepgina"/>
      <w:tabs>
        <w:tab w:val="right" w:pos="902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F5C" w:rsidRDefault="00F15F5C">
    <w:pPr>
      <w:pStyle w:val="Piedepgina"/>
    </w:pPr>
  </w:p>
  <w:p w:rsidR="00C91E9C" w:rsidRDefault="00C91E9C">
    <w:pPr>
      <w:pStyle w:val="Piedepgina"/>
    </w:pPr>
  </w:p>
  <w:p w:rsidR="002823F1" w:rsidRDefault="002823F1">
    <w:pPr>
      <w:pStyle w:val="Piedepgina"/>
    </w:pPr>
  </w:p>
  <w:tbl>
    <w:tblPr>
      <w:tblStyle w:val="Tablaconcuadrcula"/>
      <w:tblW w:w="99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0"/>
      <w:gridCol w:w="2149"/>
    </w:tblGrid>
    <w:tr w:rsidR="00235E99" w:rsidRPr="000E21EE" w:rsidTr="000E21EE">
      <w:tc>
        <w:tcPr>
          <w:tcW w:w="7830" w:type="dxa"/>
        </w:tcPr>
        <w:p w:rsidR="000B4613" w:rsidRPr="000B4613" w:rsidRDefault="000B4613" w:rsidP="000B4613">
          <w:pPr>
            <w:pStyle w:val="Piedepgina"/>
            <w:rPr>
              <w:lang w:val="es-419"/>
            </w:rPr>
          </w:pPr>
          <w:r w:rsidRPr="000B4613">
            <w:rPr>
              <w:lang w:val="es-419"/>
            </w:rPr>
            <w:t>Deloitte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se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refiere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a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una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o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más</w:t>
          </w:r>
          <w:r w:rsidR="00001E30">
            <w:rPr>
              <w:lang w:val="es-419"/>
            </w:rPr>
            <w:t xml:space="preserve"> </w:t>
          </w:r>
          <w:proofErr w:type="spellStart"/>
          <w:r w:rsidRPr="000B4613">
            <w:rPr>
              <w:lang w:val="es-419"/>
            </w:rPr>
            <w:t>Deloitte</w:t>
          </w:r>
          <w:proofErr w:type="spellEnd"/>
          <w:r w:rsidR="00001E30">
            <w:rPr>
              <w:lang w:val="es-419"/>
            </w:rPr>
            <w:t xml:space="preserve"> </w:t>
          </w:r>
          <w:proofErr w:type="spellStart"/>
          <w:r w:rsidRPr="000B4613">
            <w:rPr>
              <w:lang w:val="es-419"/>
            </w:rPr>
            <w:t>Touche</w:t>
          </w:r>
          <w:proofErr w:type="spellEnd"/>
          <w:r w:rsidR="00001E30">
            <w:rPr>
              <w:lang w:val="es-419"/>
            </w:rPr>
            <w:t xml:space="preserve"> </w:t>
          </w:r>
          <w:proofErr w:type="spellStart"/>
          <w:r w:rsidRPr="000B4613">
            <w:rPr>
              <w:lang w:val="es-419"/>
            </w:rPr>
            <w:t>Tohmatsu</w:t>
          </w:r>
          <w:proofErr w:type="spellEnd"/>
          <w:r w:rsidR="00001E30">
            <w:rPr>
              <w:lang w:val="es-419"/>
            </w:rPr>
            <w:t xml:space="preserve"> </w:t>
          </w:r>
          <w:proofErr w:type="spellStart"/>
          <w:r w:rsidRPr="000B4613">
            <w:rPr>
              <w:lang w:val="es-419"/>
            </w:rPr>
            <w:t>Limited</w:t>
          </w:r>
          <w:proofErr w:type="spellEnd"/>
          <w:r w:rsidRPr="000B4613">
            <w:rPr>
              <w:lang w:val="es-419"/>
            </w:rPr>
            <w:t>,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una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compañía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privada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de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garantía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limitada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del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Reino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Unido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("DTTL"),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y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a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su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red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de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firmas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miembro,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y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sus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entidades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relacionadas.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DTTL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y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cada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una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de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sus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firmas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miembro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es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una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entidad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legalmente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separada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e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independiente.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DTTL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(también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conocida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como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"Deloitte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Global")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no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provee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servicios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a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clientes.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Por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favor,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consulte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www.deloitte.com/about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para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una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descripción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detallada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de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nuestra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red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global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de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firmas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miembro.</w:t>
          </w:r>
        </w:p>
        <w:p w:rsidR="000B4613" w:rsidRPr="000B4613" w:rsidRDefault="000B4613" w:rsidP="000B4613">
          <w:pPr>
            <w:pStyle w:val="Piedepgina"/>
            <w:rPr>
              <w:lang w:val="es-419"/>
            </w:rPr>
          </w:pPr>
        </w:p>
        <w:p w:rsidR="008E142E" w:rsidRDefault="000B4613" w:rsidP="000B4613">
          <w:pPr>
            <w:pStyle w:val="Piedepgina"/>
            <w:rPr>
              <w:lang w:val="es-419"/>
            </w:rPr>
          </w:pPr>
          <w:r w:rsidRPr="000B4613">
            <w:rPr>
              <w:lang w:val="es-419"/>
            </w:rPr>
            <w:t>Deloitte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provee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servicios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de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auditoría,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consultoría,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asesoría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financiera,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gestión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en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riesgos,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impuestos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y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servicios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relacionados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a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clientes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públicos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y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privados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abarcando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múltiples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industrias.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Deloitte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atiende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cuatro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de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cada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cinco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compañías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del</w:t>
          </w:r>
          <w:r w:rsidR="00001E30">
            <w:rPr>
              <w:lang w:val="es-419"/>
            </w:rPr>
            <w:t xml:space="preserve"> </w:t>
          </w:r>
          <w:proofErr w:type="spellStart"/>
          <w:r w:rsidRPr="000B4613">
            <w:rPr>
              <w:lang w:val="es-419"/>
            </w:rPr>
            <w:t>Fortune</w:t>
          </w:r>
          <w:proofErr w:type="spellEnd"/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Global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500®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a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través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de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una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red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global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de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firmas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miembro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en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más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de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150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países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brindando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capacidades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de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clase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mundial,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conocimiento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y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servicio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de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alta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calidad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para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hacer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frente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a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los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desafíos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de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negocios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más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complejos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de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los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clientes.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Para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conocer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más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acerca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de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cómo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aproximadamente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245.000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profesionales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de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Deloitte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generan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un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impacto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que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trasciende,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por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favor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contáctenos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en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Facebook,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LinkedIn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o</w:t>
          </w:r>
          <w:r w:rsidR="00001E30">
            <w:rPr>
              <w:lang w:val="es-419"/>
            </w:rPr>
            <w:t xml:space="preserve"> </w:t>
          </w:r>
          <w:r w:rsidRPr="000B4613">
            <w:rPr>
              <w:lang w:val="es-419"/>
            </w:rPr>
            <w:t>Twitter.</w:t>
          </w:r>
        </w:p>
        <w:p w:rsidR="000B4613" w:rsidRPr="008E142E" w:rsidRDefault="000B4613" w:rsidP="000B4613">
          <w:pPr>
            <w:pStyle w:val="Piedepgina"/>
            <w:rPr>
              <w:lang w:val="es-419"/>
            </w:rPr>
          </w:pPr>
        </w:p>
        <w:p w:rsidR="00235E99" w:rsidRPr="000D56BA" w:rsidRDefault="000D56BA" w:rsidP="000E21EE">
          <w:pPr>
            <w:pStyle w:val="Piedepgina"/>
            <w:rPr>
              <w:lang w:val="es-419"/>
            </w:rPr>
          </w:pPr>
          <w:r w:rsidRPr="000D56BA">
            <w:rPr>
              <w:lang w:val="es-419"/>
            </w:rPr>
            <w:t>©</w:t>
          </w:r>
          <w:r w:rsidR="00001E30">
            <w:rPr>
              <w:lang w:val="es-419"/>
            </w:rPr>
            <w:t xml:space="preserve"> </w:t>
          </w:r>
          <w:r w:rsidRPr="000D56BA">
            <w:rPr>
              <w:lang w:val="es-419"/>
            </w:rPr>
            <w:t>2017.</w:t>
          </w:r>
          <w:r w:rsidR="00001E30">
            <w:rPr>
              <w:lang w:val="es-419"/>
            </w:rPr>
            <w:t xml:space="preserve"> </w:t>
          </w:r>
          <w:r w:rsidRPr="000D56BA">
            <w:rPr>
              <w:lang w:val="es-419"/>
            </w:rPr>
            <w:t>Deloitte</w:t>
          </w:r>
          <w:r w:rsidR="00001E30">
            <w:rPr>
              <w:lang w:val="es-419"/>
            </w:rPr>
            <w:t xml:space="preserve"> </w:t>
          </w:r>
          <w:r w:rsidR="000E21EE">
            <w:rPr>
              <w:lang w:val="es-419"/>
            </w:rPr>
            <w:t>Costa</w:t>
          </w:r>
          <w:r w:rsidR="00001E30">
            <w:rPr>
              <w:lang w:val="es-419"/>
            </w:rPr>
            <w:t xml:space="preserve"> </w:t>
          </w:r>
          <w:r w:rsidR="000E21EE">
            <w:rPr>
              <w:lang w:val="es-419"/>
            </w:rPr>
            <w:t>Rica</w:t>
          </w:r>
          <w:r w:rsidR="008E142E" w:rsidRPr="000D56BA">
            <w:rPr>
              <w:lang w:val="es-419"/>
            </w:rPr>
            <w:t>.</w:t>
          </w:r>
          <w:r w:rsidR="00001E30">
            <w:rPr>
              <w:lang w:val="es-419"/>
            </w:rPr>
            <w:t xml:space="preserve"> </w:t>
          </w:r>
          <w:r w:rsidR="008E142E" w:rsidRPr="000D56BA">
            <w:rPr>
              <w:lang w:val="es-419"/>
            </w:rPr>
            <w:t>Todos</w:t>
          </w:r>
          <w:r w:rsidR="00001E30">
            <w:rPr>
              <w:lang w:val="es-419"/>
            </w:rPr>
            <w:t xml:space="preserve"> </w:t>
          </w:r>
          <w:r w:rsidR="008E142E" w:rsidRPr="000D56BA">
            <w:rPr>
              <w:lang w:val="es-419"/>
            </w:rPr>
            <w:t>los</w:t>
          </w:r>
          <w:r w:rsidR="00001E30">
            <w:rPr>
              <w:lang w:val="es-419"/>
            </w:rPr>
            <w:t xml:space="preserve"> </w:t>
          </w:r>
          <w:r w:rsidR="008E142E" w:rsidRPr="000D56BA">
            <w:rPr>
              <w:lang w:val="es-419"/>
            </w:rPr>
            <w:t>derechos</w:t>
          </w:r>
          <w:r w:rsidR="00001E30">
            <w:rPr>
              <w:lang w:val="es-419"/>
            </w:rPr>
            <w:t xml:space="preserve"> </w:t>
          </w:r>
          <w:r w:rsidR="008E142E" w:rsidRPr="000D56BA">
            <w:rPr>
              <w:lang w:val="es-419"/>
            </w:rPr>
            <w:t>reservados.</w:t>
          </w:r>
        </w:p>
      </w:tc>
      <w:tc>
        <w:tcPr>
          <w:tcW w:w="2149" w:type="dxa"/>
          <w:vAlign w:val="bottom"/>
        </w:tcPr>
        <w:p w:rsidR="00235E99" w:rsidRPr="000D56BA" w:rsidRDefault="0009750A" w:rsidP="000E21EE">
          <w:pPr>
            <w:pStyle w:val="Sponsortext"/>
            <w:spacing w:line="240" w:lineRule="auto"/>
            <w:rPr>
              <w:lang w:val="es-419"/>
            </w:rPr>
          </w:pPr>
          <w:r>
            <w:rPr>
              <w:lang w:val="es-419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3.25pt;height:34.5pt">
                <v:imagedata r:id="rId1" o:title="cr_cintillo_esp_blanco_digital - sin fondo"/>
              </v:shape>
            </w:pict>
          </w:r>
        </w:p>
      </w:tc>
    </w:tr>
  </w:tbl>
  <w:p w:rsidR="00235E99" w:rsidRPr="000D56BA" w:rsidRDefault="00235E99" w:rsidP="00E31921">
    <w:pPr>
      <w:pStyle w:val="Piedepgina"/>
      <w:rPr>
        <w:lang w:val="es-4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316" w:rsidRDefault="00ED1316" w:rsidP="00C702C7">
      <w:pPr>
        <w:spacing w:line="240" w:lineRule="auto"/>
      </w:pPr>
      <w:r>
        <w:separator/>
      </w:r>
    </w:p>
  </w:footnote>
  <w:footnote w:type="continuationSeparator" w:id="0">
    <w:p w:rsidR="00ED1316" w:rsidRDefault="00ED1316" w:rsidP="00C702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E9C" w:rsidRDefault="00C7097B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133985</wp:posOffset>
          </wp:positionV>
          <wp:extent cx="1219200" cy="4095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1E9C">
      <w:rPr>
        <w:noProof/>
        <w:lang w:val="es-MX" w:eastAsia="es-MX"/>
      </w:rPr>
      <w:drawing>
        <wp:anchor distT="0" distB="0" distL="114300" distR="114300" simplePos="0" relativeHeight="251660288" behindDoc="0" locked="1" layoutInCell="1" allowOverlap="1" wp14:anchorId="65921A88" wp14:editId="3110C825">
          <wp:simplePos x="0" y="0"/>
          <wp:positionH relativeFrom="page">
            <wp:posOffset>791845</wp:posOffset>
          </wp:positionH>
          <wp:positionV relativeFrom="page">
            <wp:posOffset>360045</wp:posOffset>
          </wp:positionV>
          <wp:extent cx="1152000" cy="216000"/>
          <wp:effectExtent l="0" t="0" r="0" b="0"/>
          <wp:wrapNone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loitte logo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3F1" w:rsidRDefault="00C7097B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4485005</wp:posOffset>
          </wp:positionH>
          <wp:positionV relativeFrom="paragraph">
            <wp:posOffset>181610</wp:posOffset>
          </wp:positionV>
          <wp:extent cx="1838325" cy="60007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AE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943610</wp:posOffset>
              </wp:positionV>
              <wp:extent cx="3648075" cy="428625"/>
              <wp:effectExtent l="0" t="0" r="952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8075" cy="428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2AAE" w:rsidRPr="005F2AAE" w:rsidRDefault="005F2AAE">
                          <w:pPr>
                            <w:rPr>
                              <w:b/>
                              <w:sz w:val="32"/>
                              <w:lang w:val="es-419"/>
                            </w:rPr>
                          </w:pPr>
                          <w:r w:rsidRPr="005F2AAE">
                            <w:rPr>
                              <w:b/>
                              <w:sz w:val="32"/>
                              <w:lang w:val="es-419"/>
                            </w:rPr>
                            <w:t>Comunicado</w:t>
                          </w:r>
                          <w:r w:rsidR="00001E30">
                            <w:rPr>
                              <w:b/>
                              <w:sz w:val="32"/>
                              <w:lang w:val="es-419"/>
                            </w:rPr>
                            <w:t xml:space="preserve"> </w:t>
                          </w:r>
                          <w:r w:rsidRPr="005F2AAE">
                            <w:rPr>
                              <w:b/>
                              <w:sz w:val="32"/>
                              <w:lang w:val="es-419"/>
                            </w:rPr>
                            <w:t>de</w:t>
                          </w:r>
                          <w:r w:rsidR="00001E30">
                            <w:rPr>
                              <w:b/>
                              <w:sz w:val="32"/>
                              <w:lang w:val="es-419"/>
                            </w:rPr>
                            <w:t xml:space="preserve"> </w:t>
                          </w:r>
                          <w:r w:rsidRPr="005F2AAE">
                            <w:rPr>
                              <w:b/>
                              <w:sz w:val="32"/>
                              <w:lang w:val="es-419"/>
                            </w:rPr>
                            <w:t>Prensa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.1pt;margin-top:74.3pt;width:287.25pt;height:3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" filled="f" stroked="f" strokeweight=".5pt">
              <v:textbox inset="0,0,0,0">
                <w:txbxContent>
                  <w:p w:rsidR="005F2AAE" w:rsidRPr="005F2AAE" w:rsidRDefault="005F2AAE">
                    <w:pPr>
                      <w:rPr>
                        <w:b/>
                        <w:sz w:val="32"/>
                        <w:lang w:val="es-419"/>
                      </w:rPr>
                    </w:pPr>
                    <w:r w:rsidRPr="005F2AAE">
                      <w:rPr>
                        <w:b/>
                        <w:sz w:val="32"/>
                        <w:lang w:val="es-419"/>
                      </w:rPr>
                      <w:t>Comunicado</w:t>
                    </w:r>
                    <w:r w:rsidR="00001E30">
                      <w:rPr>
                        <w:b/>
                        <w:sz w:val="32"/>
                        <w:lang w:val="es-419"/>
                      </w:rPr>
                      <w:t xml:space="preserve"> </w:t>
                    </w:r>
                    <w:r w:rsidRPr="005F2AAE">
                      <w:rPr>
                        <w:b/>
                        <w:sz w:val="32"/>
                        <w:lang w:val="es-419"/>
                      </w:rPr>
                      <w:t>de</w:t>
                    </w:r>
                    <w:r w:rsidR="00001E30">
                      <w:rPr>
                        <w:b/>
                        <w:sz w:val="32"/>
                        <w:lang w:val="es-419"/>
                      </w:rPr>
                      <w:t xml:space="preserve"> </w:t>
                    </w:r>
                    <w:r w:rsidRPr="005F2AAE">
                      <w:rPr>
                        <w:b/>
                        <w:sz w:val="32"/>
                        <w:lang w:val="es-419"/>
                      </w:rPr>
                      <w:t>Prensa</w:t>
                    </w:r>
                  </w:p>
                </w:txbxContent>
              </v:textbox>
            </v:shape>
          </w:pict>
        </mc:Fallback>
      </mc:AlternateContent>
    </w:r>
    <w:r w:rsidR="000A53E2">
      <w:rPr>
        <w:noProof/>
        <w:lang w:val="es-MX" w:eastAsia="es-MX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791845</wp:posOffset>
          </wp:positionH>
          <wp:positionV relativeFrom="page">
            <wp:posOffset>360045</wp:posOffset>
          </wp:positionV>
          <wp:extent cx="1872000" cy="349200"/>
          <wp:effectExtent l="0" t="0" r="0" b="0"/>
          <wp:wrapNone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loitte logo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34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19D4292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44C6DCC4"/>
    <w:lvl w:ilvl="0">
      <w:start w:val="1"/>
      <w:numFmt w:val="bullet"/>
      <w:pStyle w:val="Listaconvietas2"/>
      <w:lvlText w:val="‒"/>
      <w:lvlJc w:val="left"/>
      <w:pPr>
        <w:ind w:left="587" w:hanging="360"/>
      </w:pPr>
      <w:rPr>
        <w:rFonts w:ascii="Calibri" w:hAnsi="Calibri" w:hint="default"/>
      </w:rPr>
    </w:lvl>
  </w:abstractNum>
  <w:abstractNum w:abstractNumId="2" w15:restartNumberingAfterBreak="0">
    <w:nsid w:val="FFFFFF88"/>
    <w:multiLevelType w:val="singleLevel"/>
    <w:tmpl w:val="F716B3D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616CC85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6209A8"/>
    <w:multiLevelType w:val="multilevel"/>
    <w:tmpl w:val="CB9CC5D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BFB3B39"/>
    <w:multiLevelType w:val="hybridMultilevel"/>
    <w:tmpl w:val="966A03B0"/>
    <w:lvl w:ilvl="0" w:tplc="90D85C0C">
      <w:numFmt w:val="bullet"/>
      <w:lvlText w:val="•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02634"/>
    <w:multiLevelType w:val="hybridMultilevel"/>
    <w:tmpl w:val="8460EA48"/>
    <w:lvl w:ilvl="0" w:tplc="72EC3CF6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E7690"/>
    <w:multiLevelType w:val="multilevel"/>
    <w:tmpl w:val="2C5666EC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6E62A00"/>
    <w:multiLevelType w:val="hybridMultilevel"/>
    <w:tmpl w:val="FB64C6CA"/>
    <w:lvl w:ilvl="0" w:tplc="5C6C1EFC">
      <w:numFmt w:val="bullet"/>
      <w:lvlText w:val="•"/>
      <w:lvlJc w:val="left"/>
      <w:pPr>
        <w:ind w:left="1080" w:hanging="720"/>
      </w:pPr>
      <w:rPr>
        <w:rFonts w:ascii="Verdana" w:eastAsiaTheme="minorHAns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66BD0"/>
    <w:multiLevelType w:val="multilevel"/>
    <w:tmpl w:val="15F6EE94"/>
    <w:lvl w:ilvl="0">
      <w:start w:val="1"/>
      <w:numFmt w:val="decimal"/>
      <w:lvlText w:val="%1."/>
      <w:lvlJc w:val="left"/>
      <w:pPr>
        <w:ind w:left="20" w:hanging="360"/>
      </w:pPr>
      <w:rPr>
        <w:rFonts w:hint="default"/>
        <w:b w:val="0"/>
        <w:i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100" w:hanging="360"/>
      </w:pPr>
    </w:lvl>
    <w:lvl w:ilvl="2">
      <w:start w:val="1"/>
      <w:numFmt w:val="lowerRoman"/>
      <w:lvlText w:val="%3."/>
      <w:lvlJc w:val="right"/>
      <w:pPr>
        <w:ind w:left="1820" w:hanging="180"/>
      </w:pPr>
    </w:lvl>
    <w:lvl w:ilvl="3">
      <w:start w:val="1"/>
      <w:numFmt w:val="decimal"/>
      <w:lvlText w:val="%4."/>
      <w:lvlJc w:val="left"/>
      <w:pPr>
        <w:ind w:left="2540" w:hanging="360"/>
      </w:pPr>
    </w:lvl>
    <w:lvl w:ilvl="4">
      <w:start w:val="1"/>
      <w:numFmt w:val="lowerLetter"/>
      <w:lvlText w:val="%5."/>
      <w:lvlJc w:val="left"/>
      <w:pPr>
        <w:ind w:left="3260" w:hanging="360"/>
      </w:pPr>
    </w:lvl>
    <w:lvl w:ilvl="5">
      <w:start w:val="1"/>
      <w:numFmt w:val="lowerRoman"/>
      <w:lvlText w:val="%6."/>
      <w:lvlJc w:val="right"/>
      <w:pPr>
        <w:ind w:left="3980" w:hanging="180"/>
      </w:pPr>
    </w:lvl>
    <w:lvl w:ilvl="6">
      <w:start w:val="1"/>
      <w:numFmt w:val="decimal"/>
      <w:lvlText w:val="%7."/>
      <w:lvlJc w:val="left"/>
      <w:pPr>
        <w:ind w:left="4700" w:hanging="360"/>
      </w:pPr>
    </w:lvl>
    <w:lvl w:ilvl="7">
      <w:start w:val="1"/>
      <w:numFmt w:val="lowerLetter"/>
      <w:lvlText w:val="%8."/>
      <w:lvlJc w:val="left"/>
      <w:pPr>
        <w:ind w:left="5420" w:hanging="360"/>
      </w:pPr>
    </w:lvl>
    <w:lvl w:ilvl="8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29182855"/>
    <w:multiLevelType w:val="hybridMultilevel"/>
    <w:tmpl w:val="A0BE48BE"/>
    <w:lvl w:ilvl="0" w:tplc="90D85C0C">
      <w:numFmt w:val="bullet"/>
      <w:lvlText w:val="•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95534"/>
    <w:multiLevelType w:val="multilevel"/>
    <w:tmpl w:val="CB9CC5D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706E4B"/>
    <w:multiLevelType w:val="hybridMultilevel"/>
    <w:tmpl w:val="5A62C84C"/>
    <w:lvl w:ilvl="0" w:tplc="8BEC6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65C15"/>
    <w:multiLevelType w:val="hybridMultilevel"/>
    <w:tmpl w:val="B69E5CF2"/>
    <w:lvl w:ilvl="0" w:tplc="806E79C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1028C"/>
    <w:multiLevelType w:val="hybridMultilevel"/>
    <w:tmpl w:val="15F6EE94"/>
    <w:lvl w:ilvl="0" w:tplc="0DE6A996">
      <w:start w:val="1"/>
      <w:numFmt w:val="decimal"/>
      <w:lvlText w:val="%1."/>
      <w:lvlJc w:val="left"/>
      <w:pPr>
        <w:ind w:left="20" w:hanging="360"/>
      </w:pPr>
      <w:rPr>
        <w:rFonts w:hint="default"/>
        <w:b w:val="0"/>
        <w:i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4B1A6C4E"/>
    <w:multiLevelType w:val="hybridMultilevel"/>
    <w:tmpl w:val="84E4A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E6A82"/>
    <w:multiLevelType w:val="multilevel"/>
    <w:tmpl w:val="27CC0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D0865"/>
    <w:multiLevelType w:val="hybridMultilevel"/>
    <w:tmpl w:val="5EA2E9CC"/>
    <w:lvl w:ilvl="0" w:tplc="5C6C1EFC">
      <w:numFmt w:val="bullet"/>
      <w:lvlText w:val="•"/>
      <w:lvlJc w:val="left"/>
      <w:pPr>
        <w:ind w:left="1080" w:hanging="720"/>
      </w:pPr>
      <w:rPr>
        <w:rFonts w:ascii="Verdana" w:eastAsiaTheme="minorHAns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C439B"/>
    <w:multiLevelType w:val="hybridMultilevel"/>
    <w:tmpl w:val="15F6EE94"/>
    <w:lvl w:ilvl="0" w:tplc="0DE6A996">
      <w:start w:val="1"/>
      <w:numFmt w:val="decimal"/>
      <w:lvlText w:val="%1."/>
      <w:lvlJc w:val="left"/>
      <w:pPr>
        <w:ind w:left="20" w:hanging="360"/>
      </w:pPr>
      <w:rPr>
        <w:rFonts w:hint="default"/>
        <w:b w:val="0"/>
        <w:i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5C834CD5"/>
    <w:multiLevelType w:val="hybridMultilevel"/>
    <w:tmpl w:val="B056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8224D"/>
    <w:multiLevelType w:val="multilevel"/>
    <w:tmpl w:val="307681DC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E9058F3"/>
    <w:multiLevelType w:val="multilevel"/>
    <w:tmpl w:val="CB9CC5D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4274312"/>
    <w:multiLevelType w:val="hybridMultilevel"/>
    <w:tmpl w:val="77D22608"/>
    <w:lvl w:ilvl="0" w:tplc="5C6C1EFC">
      <w:numFmt w:val="bullet"/>
      <w:lvlText w:val="•"/>
      <w:lvlJc w:val="left"/>
      <w:pPr>
        <w:ind w:left="1080" w:hanging="720"/>
      </w:pPr>
      <w:rPr>
        <w:rFonts w:ascii="Verdana" w:eastAsiaTheme="minorHAns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2"/>
  </w:num>
  <w:num w:numId="6">
    <w:abstractNumId w:val="18"/>
  </w:num>
  <w:num w:numId="7">
    <w:abstractNumId w:val="18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7"/>
  </w:num>
  <w:num w:numId="11">
    <w:abstractNumId w:val="9"/>
  </w:num>
  <w:num w:numId="12">
    <w:abstractNumId w:val="20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15"/>
  </w:num>
  <w:num w:numId="20">
    <w:abstractNumId w:val="10"/>
  </w:num>
  <w:num w:numId="21">
    <w:abstractNumId w:val="5"/>
  </w:num>
  <w:num w:numId="22">
    <w:abstractNumId w:val="19"/>
  </w:num>
  <w:num w:numId="23">
    <w:abstractNumId w:val="8"/>
  </w:num>
  <w:num w:numId="24">
    <w:abstractNumId w:val="1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07"/>
    <w:rsid w:val="000005FE"/>
    <w:rsid w:val="00000D2A"/>
    <w:rsid w:val="00001E30"/>
    <w:rsid w:val="000131A3"/>
    <w:rsid w:val="00014B89"/>
    <w:rsid w:val="0001671E"/>
    <w:rsid w:val="00021A39"/>
    <w:rsid w:val="00024E8F"/>
    <w:rsid w:val="00025E7D"/>
    <w:rsid w:val="00037C17"/>
    <w:rsid w:val="000402BB"/>
    <w:rsid w:val="0004031D"/>
    <w:rsid w:val="000429AC"/>
    <w:rsid w:val="00042B6A"/>
    <w:rsid w:val="00042B99"/>
    <w:rsid w:val="000522D4"/>
    <w:rsid w:val="000637A6"/>
    <w:rsid w:val="00066BBA"/>
    <w:rsid w:val="00071509"/>
    <w:rsid w:val="00083DD5"/>
    <w:rsid w:val="000953C1"/>
    <w:rsid w:val="000969E0"/>
    <w:rsid w:val="0009750A"/>
    <w:rsid w:val="000A0785"/>
    <w:rsid w:val="000A53E2"/>
    <w:rsid w:val="000B4613"/>
    <w:rsid w:val="000B7D0A"/>
    <w:rsid w:val="000C20BD"/>
    <w:rsid w:val="000C5EA5"/>
    <w:rsid w:val="000D1CEB"/>
    <w:rsid w:val="000D2DE0"/>
    <w:rsid w:val="000D56BA"/>
    <w:rsid w:val="000D63D3"/>
    <w:rsid w:val="000D786B"/>
    <w:rsid w:val="000E21EE"/>
    <w:rsid w:val="000F5C22"/>
    <w:rsid w:val="0010462B"/>
    <w:rsid w:val="00123AD3"/>
    <w:rsid w:val="00130191"/>
    <w:rsid w:val="00131F8B"/>
    <w:rsid w:val="00133E28"/>
    <w:rsid w:val="00147740"/>
    <w:rsid w:val="00153FDF"/>
    <w:rsid w:val="001621E3"/>
    <w:rsid w:val="00166099"/>
    <w:rsid w:val="001708B9"/>
    <w:rsid w:val="0017280D"/>
    <w:rsid w:val="001757CE"/>
    <w:rsid w:val="00180BDA"/>
    <w:rsid w:val="0018108F"/>
    <w:rsid w:val="00183B0E"/>
    <w:rsid w:val="00186FC8"/>
    <w:rsid w:val="001975EF"/>
    <w:rsid w:val="0019765A"/>
    <w:rsid w:val="001A45CF"/>
    <w:rsid w:val="001B5C19"/>
    <w:rsid w:val="001D03A7"/>
    <w:rsid w:val="001E1101"/>
    <w:rsid w:val="001E7814"/>
    <w:rsid w:val="001E7D3E"/>
    <w:rsid w:val="001F61B8"/>
    <w:rsid w:val="00210122"/>
    <w:rsid w:val="002154F3"/>
    <w:rsid w:val="00216CF6"/>
    <w:rsid w:val="00220CCF"/>
    <w:rsid w:val="00221BC7"/>
    <w:rsid w:val="00231900"/>
    <w:rsid w:val="00231B44"/>
    <w:rsid w:val="0023360C"/>
    <w:rsid w:val="002340B6"/>
    <w:rsid w:val="00234BA2"/>
    <w:rsid w:val="00235E99"/>
    <w:rsid w:val="00246233"/>
    <w:rsid w:val="00253D2A"/>
    <w:rsid w:val="00255D53"/>
    <w:rsid w:val="00261E58"/>
    <w:rsid w:val="002823F1"/>
    <w:rsid w:val="00291EC5"/>
    <w:rsid w:val="00297214"/>
    <w:rsid w:val="002C5FEA"/>
    <w:rsid w:val="002C690A"/>
    <w:rsid w:val="002C7628"/>
    <w:rsid w:val="002D41F7"/>
    <w:rsid w:val="002D43A9"/>
    <w:rsid w:val="002E1C00"/>
    <w:rsid w:val="002E42E0"/>
    <w:rsid w:val="002E7099"/>
    <w:rsid w:val="002F2771"/>
    <w:rsid w:val="003121C1"/>
    <w:rsid w:val="0032373B"/>
    <w:rsid w:val="00327E21"/>
    <w:rsid w:val="00337680"/>
    <w:rsid w:val="0034140E"/>
    <w:rsid w:val="00350C8D"/>
    <w:rsid w:val="00357E4F"/>
    <w:rsid w:val="00375EB8"/>
    <w:rsid w:val="00377AE4"/>
    <w:rsid w:val="0038405F"/>
    <w:rsid w:val="003863C7"/>
    <w:rsid w:val="0039181B"/>
    <w:rsid w:val="003932D5"/>
    <w:rsid w:val="003A6FE8"/>
    <w:rsid w:val="003C12AF"/>
    <w:rsid w:val="003C4DE4"/>
    <w:rsid w:val="003E138D"/>
    <w:rsid w:val="003E1820"/>
    <w:rsid w:val="003F530A"/>
    <w:rsid w:val="003F61E1"/>
    <w:rsid w:val="00404297"/>
    <w:rsid w:val="004052BC"/>
    <w:rsid w:val="00412EA0"/>
    <w:rsid w:val="00422D63"/>
    <w:rsid w:val="00441C0D"/>
    <w:rsid w:val="0044558B"/>
    <w:rsid w:val="004509E3"/>
    <w:rsid w:val="00451AD9"/>
    <w:rsid w:val="004700BF"/>
    <w:rsid w:val="00473614"/>
    <w:rsid w:val="00482092"/>
    <w:rsid w:val="004854E2"/>
    <w:rsid w:val="004860A3"/>
    <w:rsid w:val="004A0DCC"/>
    <w:rsid w:val="004D3883"/>
    <w:rsid w:val="004D49FC"/>
    <w:rsid w:val="004F47B4"/>
    <w:rsid w:val="004F4A4B"/>
    <w:rsid w:val="004F777C"/>
    <w:rsid w:val="00501EFF"/>
    <w:rsid w:val="00512EE0"/>
    <w:rsid w:val="005270F9"/>
    <w:rsid w:val="00532745"/>
    <w:rsid w:val="00543BA8"/>
    <w:rsid w:val="00563C6F"/>
    <w:rsid w:val="00573556"/>
    <w:rsid w:val="00573D2F"/>
    <w:rsid w:val="00581707"/>
    <w:rsid w:val="005843DE"/>
    <w:rsid w:val="0059682F"/>
    <w:rsid w:val="005B6B53"/>
    <w:rsid w:val="005D5512"/>
    <w:rsid w:val="005F2AAE"/>
    <w:rsid w:val="005F525A"/>
    <w:rsid w:val="005F54F5"/>
    <w:rsid w:val="005F6A73"/>
    <w:rsid w:val="005F74C0"/>
    <w:rsid w:val="00605199"/>
    <w:rsid w:val="0061252C"/>
    <w:rsid w:val="00624C5E"/>
    <w:rsid w:val="00632116"/>
    <w:rsid w:val="00632E54"/>
    <w:rsid w:val="00646479"/>
    <w:rsid w:val="00663EEA"/>
    <w:rsid w:val="0066677B"/>
    <w:rsid w:val="00671EC0"/>
    <w:rsid w:val="00676F48"/>
    <w:rsid w:val="00686056"/>
    <w:rsid w:val="006A473D"/>
    <w:rsid w:val="006B16E0"/>
    <w:rsid w:val="006B4816"/>
    <w:rsid w:val="006C1084"/>
    <w:rsid w:val="006C5AD3"/>
    <w:rsid w:val="006C617F"/>
    <w:rsid w:val="006D6A17"/>
    <w:rsid w:val="007027EC"/>
    <w:rsid w:val="00703CBC"/>
    <w:rsid w:val="00707CED"/>
    <w:rsid w:val="0071047C"/>
    <w:rsid w:val="007129FA"/>
    <w:rsid w:val="00716570"/>
    <w:rsid w:val="007172D9"/>
    <w:rsid w:val="00720888"/>
    <w:rsid w:val="0072746D"/>
    <w:rsid w:val="00731E8E"/>
    <w:rsid w:val="00734C1B"/>
    <w:rsid w:val="00736E09"/>
    <w:rsid w:val="007516F0"/>
    <w:rsid w:val="00753143"/>
    <w:rsid w:val="00753A99"/>
    <w:rsid w:val="0076614E"/>
    <w:rsid w:val="00783194"/>
    <w:rsid w:val="0079305A"/>
    <w:rsid w:val="007B2FB1"/>
    <w:rsid w:val="007C008A"/>
    <w:rsid w:val="007C7944"/>
    <w:rsid w:val="007E03C0"/>
    <w:rsid w:val="007E2449"/>
    <w:rsid w:val="007E2836"/>
    <w:rsid w:val="007E568A"/>
    <w:rsid w:val="007F4828"/>
    <w:rsid w:val="00813DBC"/>
    <w:rsid w:val="00813F7A"/>
    <w:rsid w:val="00822FC7"/>
    <w:rsid w:val="00843C07"/>
    <w:rsid w:val="00856A0E"/>
    <w:rsid w:val="00861E7A"/>
    <w:rsid w:val="00872FD2"/>
    <w:rsid w:val="00873D35"/>
    <w:rsid w:val="00876869"/>
    <w:rsid w:val="00887281"/>
    <w:rsid w:val="00894F9A"/>
    <w:rsid w:val="008A09BE"/>
    <w:rsid w:val="008C0EAA"/>
    <w:rsid w:val="008C3224"/>
    <w:rsid w:val="008C5A91"/>
    <w:rsid w:val="008C6850"/>
    <w:rsid w:val="008E142E"/>
    <w:rsid w:val="008E7B8E"/>
    <w:rsid w:val="008E7ED3"/>
    <w:rsid w:val="00905422"/>
    <w:rsid w:val="00913E4A"/>
    <w:rsid w:val="00930258"/>
    <w:rsid w:val="00930A39"/>
    <w:rsid w:val="009350F0"/>
    <w:rsid w:val="00977BEA"/>
    <w:rsid w:val="00991538"/>
    <w:rsid w:val="0099372E"/>
    <w:rsid w:val="00995104"/>
    <w:rsid w:val="009A0464"/>
    <w:rsid w:val="009A44A5"/>
    <w:rsid w:val="009B2D95"/>
    <w:rsid w:val="009C403B"/>
    <w:rsid w:val="009D3564"/>
    <w:rsid w:val="009D76A7"/>
    <w:rsid w:val="009E006D"/>
    <w:rsid w:val="009E0A65"/>
    <w:rsid w:val="009E1305"/>
    <w:rsid w:val="009E5122"/>
    <w:rsid w:val="00A06932"/>
    <w:rsid w:val="00A17957"/>
    <w:rsid w:val="00A32258"/>
    <w:rsid w:val="00A33333"/>
    <w:rsid w:val="00A35CAC"/>
    <w:rsid w:val="00A43B3E"/>
    <w:rsid w:val="00A51CBB"/>
    <w:rsid w:val="00A659E1"/>
    <w:rsid w:val="00A80E26"/>
    <w:rsid w:val="00A85445"/>
    <w:rsid w:val="00A9095F"/>
    <w:rsid w:val="00A947CC"/>
    <w:rsid w:val="00AA34E3"/>
    <w:rsid w:val="00AB20B5"/>
    <w:rsid w:val="00AB3DD5"/>
    <w:rsid w:val="00AC1D94"/>
    <w:rsid w:val="00AC51A9"/>
    <w:rsid w:val="00AE710A"/>
    <w:rsid w:val="00B020E4"/>
    <w:rsid w:val="00B04683"/>
    <w:rsid w:val="00B262AB"/>
    <w:rsid w:val="00B33CB7"/>
    <w:rsid w:val="00B37C41"/>
    <w:rsid w:val="00B5443F"/>
    <w:rsid w:val="00B5508B"/>
    <w:rsid w:val="00B57B8C"/>
    <w:rsid w:val="00B617CD"/>
    <w:rsid w:val="00B65E5E"/>
    <w:rsid w:val="00B668AD"/>
    <w:rsid w:val="00B76AF5"/>
    <w:rsid w:val="00B805E0"/>
    <w:rsid w:val="00B9285D"/>
    <w:rsid w:val="00BA748E"/>
    <w:rsid w:val="00BB6CB3"/>
    <w:rsid w:val="00BC0C5A"/>
    <w:rsid w:val="00BC266F"/>
    <w:rsid w:val="00BC30DA"/>
    <w:rsid w:val="00BC7CD6"/>
    <w:rsid w:val="00BD4F11"/>
    <w:rsid w:val="00BE48D2"/>
    <w:rsid w:val="00C04DCF"/>
    <w:rsid w:val="00C06177"/>
    <w:rsid w:val="00C075EA"/>
    <w:rsid w:val="00C12332"/>
    <w:rsid w:val="00C23990"/>
    <w:rsid w:val="00C25EC1"/>
    <w:rsid w:val="00C34C43"/>
    <w:rsid w:val="00C50A26"/>
    <w:rsid w:val="00C57607"/>
    <w:rsid w:val="00C61AC6"/>
    <w:rsid w:val="00C6535C"/>
    <w:rsid w:val="00C702C7"/>
    <w:rsid w:val="00C7097B"/>
    <w:rsid w:val="00C86894"/>
    <w:rsid w:val="00C8703B"/>
    <w:rsid w:val="00C907A2"/>
    <w:rsid w:val="00C91E9C"/>
    <w:rsid w:val="00CA2547"/>
    <w:rsid w:val="00CA4E63"/>
    <w:rsid w:val="00CA5B05"/>
    <w:rsid w:val="00CA5E99"/>
    <w:rsid w:val="00CA7024"/>
    <w:rsid w:val="00CC5E8F"/>
    <w:rsid w:val="00CE435C"/>
    <w:rsid w:val="00CF7F7F"/>
    <w:rsid w:val="00D05281"/>
    <w:rsid w:val="00D236E8"/>
    <w:rsid w:val="00D2498E"/>
    <w:rsid w:val="00D27B73"/>
    <w:rsid w:val="00D4280C"/>
    <w:rsid w:val="00D5297D"/>
    <w:rsid w:val="00D52A6A"/>
    <w:rsid w:val="00D61DFC"/>
    <w:rsid w:val="00D76093"/>
    <w:rsid w:val="00D815D0"/>
    <w:rsid w:val="00DA1962"/>
    <w:rsid w:val="00DB0CB1"/>
    <w:rsid w:val="00DB5D79"/>
    <w:rsid w:val="00DB5D97"/>
    <w:rsid w:val="00DC20E4"/>
    <w:rsid w:val="00DC4D91"/>
    <w:rsid w:val="00DE0039"/>
    <w:rsid w:val="00DF4B62"/>
    <w:rsid w:val="00E0517E"/>
    <w:rsid w:val="00E25A5B"/>
    <w:rsid w:val="00E26113"/>
    <w:rsid w:val="00E266A4"/>
    <w:rsid w:val="00E31921"/>
    <w:rsid w:val="00E35306"/>
    <w:rsid w:val="00E35847"/>
    <w:rsid w:val="00E37B56"/>
    <w:rsid w:val="00E51605"/>
    <w:rsid w:val="00E51627"/>
    <w:rsid w:val="00E56F4A"/>
    <w:rsid w:val="00E668C1"/>
    <w:rsid w:val="00E778F0"/>
    <w:rsid w:val="00E87432"/>
    <w:rsid w:val="00E943B8"/>
    <w:rsid w:val="00E95AA5"/>
    <w:rsid w:val="00EB209E"/>
    <w:rsid w:val="00EB5CD1"/>
    <w:rsid w:val="00EC0499"/>
    <w:rsid w:val="00EC6F73"/>
    <w:rsid w:val="00ED1316"/>
    <w:rsid w:val="00ED54EA"/>
    <w:rsid w:val="00ED5728"/>
    <w:rsid w:val="00EE09EC"/>
    <w:rsid w:val="00EE16D4"/>
    <w:rsid w:val="00EE2C87"/>
    <w:rsid w:val="00EF4086"/>
    <w:rsid w:val="00F045B9"/>
    <w:rsid w:val="00F15F5C"/>
    <w:rsid w:val="00F215DE"/>
    <w:rsid w:val="00F3081C"/>
    <w:rsid w:val="00F34B0A"/>
    <w:rsid w:val="00F42E2C"/>
    <w:rsid w:val="00F448EC"/>
    <w:rsid w:val="00F565A3"/>
    <w:rsid w:val="00F64334"/>
    <w:rsid w:val="00F7435C"/>
    <w:rsid w:val="00F9119D"/>
    <w:rsid w:val="00F979F6"/>
    <w:rsid w:val="00FA7B71"/>
    <w:rsid w:val="00FC5C06"/>
    <w:rsid w:val="00FD3E32"/>
    <w:rsid w:val="00FD505C"/>
    <w:rsid w:val="00FD65D3"/>
    <w:rsid w:val="00FE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B1CBAC-BC0A-454D-B8F1-260100F0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unhideWhenUsed="1"/>
    <w:lsdException w:name="annotation text" w:semiHidden="1"/>
    <w:lsdException w:name="header" w:unhideWhenUsed="1"/>
    <w:lsdException w:name="footer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nhideWhenUsed="1" w:qFormat="1"/>
    <w:lsdException w:name="List Bullet 3" w:semiHidden="1"/>
    <w:lsdException w:name="List Bullet 4" w:semiHidden="1"/>
    <w:lsdException w:name="List Bullet 5" w:semiHidden="1"/>
    <w:lsdException w:name="List Number 2" w:unhideWhenUsed="1" w:qFormat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D0A"/>
    <w:pPr>
      <w:spacing w:after="0" w:line="240" w:lineRule="atLeast"/>
    </w:pPr>
    <w:rPr>
      <w:sz w:val="17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4031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7B2FB1"/>
    <w:pPr>
      <w:keepNext/>
      <w:keepLines/>
      <w:outlineLvl w:val="1"/>
    </w:pPr>
    <w:rPr>
      <w:rFonts w:asciiTheme="majorHAnsi" w:eastAsiaTheme="majorEastAsia" w:hAnsiTheme="majorHAnsi" w:cstheme="majorBidi"/>
      <w:b/>
      <w:bCs/>
      <w:i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qFormat/>
    <w:rsid w:val="00C61AC6"/>
    <w:pPr>
      <w:keepNext/>
      <w:keepLines/>
      <w:numPr>
        <w:ilvl w:val="2"/>
        <w:numId w:val="16"/>
      </w:numPr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qFormat/>
    <w:rsid w:val="00255D53"/>
    <w:pPr>
      <w:keepNext/>
      <w:keepLines/>
      <w:tabs>
        <w:tab w:val="left" w:pos="340"/>
      </w:tabs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031D"/>
    <w:rPr>
      <w:rFonts w:asciiTheme="majorHAnsi" w:eastAsiaTheme="majorEastAsia" w:hAnsiTheme="majorHAnsi" w:cstheme="majorBidi"/>
      <w:b/>
      <w:bCs/>
      <w:color w:val="000000" w:themeColor="text1"/>
      <w:sz w:val="17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B2FB1"/>
    <w:rPr>
      <w:rFonts w:asciiTheme="majorHAnsi" w:eastAsiaTheme="majorEastAsia" w:hAnsiTheme="majorHAnsi" w:cstheme="majorBidi"/>
      <w:b/>
      <w:bCs/>
      <w:i/>
      <w:color w:val="000000" w:themeColor="text1"/>
      <w:szCs w:val="26"/>
    </w:rPr>
  </w:style>
  <w:style w:type="table" w:styleId="Tablaconcuadrcula">
    <w:name w:val="Table Grid"/>
    <w:basedOn w:val="Tablanormal"/>
    <w:uiPriority w:val="59"/>
    <w:rsid w:val="00025E7D"/>
    <w:pPr>
      <w:spacing w:after="0" w:line="240" w:lineRule="auto"/>
    </w:pPr>
    <w:tblPr/>
  </w:style>
  <w:style w:type="paragraph" w:styleId="Encabezado">
    <w:name w:val="header"/>
    <w:link w:val="EncabezadoCar"/>
    <w:uiPriority w:val="99"/>
    <w:rsid w:val="000A53E2"/>
    <w:pPr>
      <w:tabs>
        <w:tab w:val="center" w:pos="4513"/>
        <w:tab w:val="right" w:pos="9026"/>
      </w:tabs>
      <w:spacing w:after="0" w:line="240" w:lineRule="auto"/>
    </w:pPr>
    <w:rPr>
      <w:sz w:val="17"/>
    </w:rPr>
  </w:style>
  <w:style w:type="character" w:customStyle="1" w:styleId="EncabezadoCar">
    <w:name w:val="Encabezado Car"/>
    <w:basedOn w:val="Fuentedeprrafopredeter"/>
    <w:link w:val="Encabezado"/>
    <w:uiPriority w:val="99"/>
    <w:rsid w:val="000A53E2"/>
    <w:rPr>
      <w:sz w:val="17"/>
    </w:rPr>
  </w:style>
  <w:style w:type="paragraph" w:styleId="Piedepgina">
    <w:name w:val="footer"/>
    <w:link w:val="PiedepginaCar"/>
    <w:uiPriority w:val="99"/>
    <w:rsid w:val="00350C8D"/>
    <w:pPr>
      <w:tabs>
        <w:tab w:val="right" w:pos="7371"/>
      </w:tabs>
      <w:spacing w:after="0" w:line="130" w:lineRule="exact"/>
      <w:ind w:right="227"/>
    </w:pPr>
    <w:rPr>
      <w:sz w:val="1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50C8D"/>
    <w:rPr>
      <w:sz w:val="11"/>
    </w:rPr>
  </w:style>
  <w:style w:type="paragraph" w:styleId="Textodeglobo">
    <w:name w:val="Balloon Text"/>
    <w:basedOn w:val="Normal"/>
    <w:link w:val="TextodegloboCar"/>
    <w:uiPriority w:val="99"/>
    <w:semiHidden/>
    <w:rsid w:val="00C702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2C7"/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al"/>
    <w:semiHidden/>
    <w:qFormat/>
    <w:rsid w:val="00A43B3E"/>
    <w:rPr>
      <w:b/>
    </w:rPr>
  </w:style>
  <w:style w:type="character" w:styleId="Textodelmarcadordeposicin">
    <w:name w:val="Placeholder Text"/>
    <w:basedOn w:val="Fuentedeprrafopredeter"/>
    <w:uiPriority w:val="99"/>
    <w:semiHidden/>
    <w:rsid w:val="001975EF"/>
    <w:rPr>
      <w:color w:val="808080"/>
    </w:rPr>
  </w:style>
  <w:style w:type="paragraph" w:styleId="Listaconvietas">
    <w:name w:val="List Bullet"/>
    <w:basedOn w:val="Normal"/>
    <w:uiPriority w:val="99"/>
    <w:qFormat/>
    <w:rsid w:val="009A0464"/>
    <w:pPr>
      <w:numPr>
        <w:numId w:val="1"/>
      </w:numPr>
      <w:tabs>
        <w:tab w:val="clear" w:pos="360"/>
        <w:tab w:val="left" w:pos="227"/>
      </w:tabs>
      <w:ind w:left="227" w:hanging="227"/>
      <w:contextualSpacing/>
    </w:pPr>
  </w:style>
  <w:style w:type="paragraph" w:styleId="Listaconvietas2">
    <w:name w:val="List Bullet 2"/>
    <w:basedOn w:val="Normal"/>
    <w:uiPriority w:val="99"/>
    <w:qFormat/>
    <w:rsid w:val="009A0464"/>
    <w:pPr>
      <w:numPr>
        <w:numId w:val="2"/>
      </w:numPr>
      <w:ind w:left="454" w:hanging="227"/>
      <w:contextualSpacing/>
    </w:pPr>
  </w:style>
  <w:style w:type="paragraph" w:styleId="Listaconnmeros">
    <w:name w:val="List Number"/>
    <w:basedOn w:val="Normal"/>
    <w:uiPriority w:val="99"/>
    <w:qFormat/>
    <w:rsid w:val="00E26113"/>
    <w:pPr>
      <w:numPr>
        <w:numId w:val="3"/>
      </w:numPr>
      <w:ind w:left="340" w:hanging="340"/>
      <w:contextualSpacing/>
    </w:pPr>
  </w:style>
  <w:style w:type="paragraph" w:styleId="Listaconnmeros2">
    <w:name w:val="List Number 2"/>
    <w:basedOn w:val="Normal"/>
    <w:uiPriority w:val="99"/>
    <w:qFormat/>
    <w:rsid w:val="00E26113"/>
    <w:pPr>
      <w:numPr>
        <w:numId w:val="4"/>
      </w:numPr>
      <w:ind w:left="680" w:hanging="34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C8703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703B"/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Textonotapie">
    <w:name w:val="footnote text"/>
    <w:basedOn w:val="Normal"/>
    <w:link w:val="TextonotapieCar"/>
    <w:uiPriority w:val="99"/>
    <w:semiHidden/>
    <w:rsid w:val="00F3081C"/>
    <w:pPr>
      <w:spacing w:line="240" w:lineRule="auto"/>
    </w:pPr>
    <w:rPr>
      <w:sz w:val="16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703B"/>
    <w:rPr>
      <w:sz w:val="16"/>
      <w:szCs w:val="20"/>
    </w:rPr>
  </w:style>
  <w:style w:type="paragraph" w:customStyle="1" w:styleId="Documenttitle">
    <w:name w:val="Document title"/>
    <w:next w:val="Normal"/>
    <w:qFormat/>
    <w:rsid w:val="00703CBC"/>
    <w:pPr>
      <w:spacing w:after="0" w:line="240" w:lineRule="auto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customStyle="1" w:styleId="Subheading">
    <w:name w:val="Subheading"/>
    <w:basedOn w:val="Normal"/>
    <w:next w:val="Normal"/>
    <w:semiHidden/>
    <w:qFormat/>
    <w:rsid w:val="00D236E8"/>
    <w:rPr>
      <w:rFonts w:asciiTheme="majorHAnsi" w:eastAsiaTheme="majorEastAsia" w:hAnsiTheme="majorHAnsi" w:cstheme="majorBidi"/>
      <w:b/>
      <w:bCs/>
      <w:iCs/>
      <w:color w:val="000000" w:themeColor="text1"/>
    </w:rPr>
  </w:style>
  <w:style w:type="character" w:styleId="Refdenotaalpie">
    <w:name w:val="footnote reference"/>
    <w:basedOn w:val="Fuentedeprrafopredeter"/>
    <w:uiPriority w:val="99"/>
    <w:semiHidden/>
    <w:rsid w:val="00412EA0"/>
    <w:rPr>
      <w:vertAlign w:val="superscript"/>
    </w:rPr>
  </w:style>
  <w:style w:type="paragraph" w:customStyle="1" w:styleId="Deloitteaddress">
    <w:name w:val="Deloitte address"/>
    <w:basedOn w:val="Normal"/>
    <w:qFormat/>
    <w:rsid w:val="00235E99"/>
    <w:pPr>
      <w:spacing w:line="170" w:lineRule="atLeast"/>
    </w:pPr>
    <w:rPr>
      <w:sz w:val="14"/>
    </w:rPr>
  </w:style>
  <w:style w:type="paragraph" w:customStyle="1" w:styleId="Sponsortext">
    <w:name w:val="Sponsor text"/>
    <w:basedOn w:val="Piedepgina"/>
    <w:qFormat/>
    <w:rsid w:val="00350C8D"/>
    <w:pPr>
      <w:spacing w:line="170" w:lineRule="exact"/>
      <w:ind w:right="0"/>
    </w:pPr>
    <w:rPr>
      <w:sz w:val="14"/>
    </w:rPr>
  </w:style>
  <w:style w:type="paragraph" w:customStyle="1" w:styleId="Fax">
    <w:name w:val="Fax"/>
    <w:basedOn w:val="Normal"/>
    <w:rsid w:val="005F2AAE"/>
    <w:pPr>
      <w:widowControl w:val="0"/>
      <w:suppressAutoHyphens/>
      <w:autoSpaceDE w:val="0"/>
      <w:autoSpaceDN w:val="0"/>
      <w:adjustRightInd w:val="0"/>
      <w:spacing w:line="320" w:lineRule="atLeast"/>
      <w:textAlignment w:val="center"/>
    </w:pPr>
    <w:rPr>
      <w:rFonts w:ascii="Garamond3LTStd" w:eastAsia="Times New Roman" w:hAnsi="Garamond3LTStd" w:cs="Times New Roman"/>
      <w:color w:val="000000"/>
      <w:sz w:val="56"/>
      <w:szCs w:val="20"/>
      <w:lang w:val="en-GB" w:eastAsia="en-GB"/>
    </w:rPr>
  </w:style>
  <w:style w:type="paragraph" w:customStyle="1" w:styleId="Maintext">
    <w:name w:val="Main text"/>
    <w:basedOn w:val="Normal"/>
    <w:rsid w:val="005F2AAE"/>
    <w:pPr>
      <w:widowControl w:val="0"/>
      <w:suppressAutoHyphens/>
      <w:autoSpaceDE w:val="0"/>
      <w:autoSpaceDN w:val="0"/>
      <w:adjustRightInd w:val="0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</w:style>
  <w:style w:type="paragraph" w:styleId="Sinespaciado">
    <w:name w:val="No Spacing"/>
    <w:uiPriority w:val="1"/>
    <w:qFormat/>
    <w:rsid w:val="006C1084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semiHidden/>
    <w:qFormat/>
    <w:rsid w:val="00BA748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E2449"/>
    <w:rPr>
      <w:color w:val="00A3E0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09750A"/>
    <w:rPr>
      <w:b/>
      <w:bCs/>
    </w:rPr>
  </w:style>
  <w:style w:type="character" w:styleId="nfasis">
    <w:name w:val="Emphasis"/>
    <w:basedOn w:val="Fuentedeprrafopredeter"/>
    <w:uiPriority w:val="20"/>
    <w:qFormat/>
    <w:rsid w:val="000975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arranza@deloitt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eloitte.com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rtiz\Downloads\Letterhead_LTR_Word\Letterhead_LTR.dotx" TargetMode="External"/></Relationships>
</file>

<file path=word/theme/theme1.xml><?xml version="1.0" encoding="utf-8"?>
<a:theme xmlns:a="http://schemas.openxmlformats.org/drawingml/2006/main" name="Office Theme">
  <a:themeElements>
    <a:clrScheme name="Deloitte colour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6BC25"/>
      </a:accent1>
      <a:accent2>
        <a:srgbClr val="2C5234"/>
      </a:accent2>
      <a:accent3>
        <a:srgbClr val="00A3E0"/>
      </a:accent3>
      <a:accent4>
        <a:srgbClr val="012169"/>
      </a:accent4>
      <a:accent5>
        <a:srgbClr val="0097A9"/>
      </a:accent5>
      <a:accent6>
        <a:srgbClr val="75787B"/>
      </a:accent6>
      <a:hlink>
        <a:srgbClr val="00A3E0"/>
      </a:hlink>
      <a:folHlink>
        <a:srgbClr val="954F72"/>
      </a:folHlink>
    </a:clrScheme>
    <a:fontScheme name="Deloitte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EDF85-D9A0-47DA-8E59-89A28CBE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Letterhead_LTR</Template>
  <TotalTime>69</TotalTime>
  <Pages>2</Pages>
  <Words>1021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/>
  <LinksUpToDate>false</LinksUpToDate>
  <CharactersWithSpaces>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Ortiz, Paola (LATCO - San Jose)</dc:creator>
  <cp:keywords/>
  <dc:description/>
  <cp:lastModifiedBy>Otto Rivera</cp:lastModifiedBy>
  <cp:revision>80</cp:revision>
  <cp:lastPrinted>2017-04-19T19:31:00Z</cp:lastPrinted>
  <dcterms:created xsi:type="dcterms:W3CDTF">2017-05-30T17:03:00Z</dcterms:created>
  <dcterms:modified xsi:type="dcterms:W3CDTF">2017-05-30T20:12:00Z</dcterms:modified>
</cp:coreProperties>
</file>