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07"/>
        <w:gridCol w:w="5085"/>
      </w:tblGrid>
      <w:tr w:rsidR="008B2105" w:rsidRPr="002221DA" w14:paraId="7FA61687" w14:textId="77777777" w:rsidTr="006966E8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2E7B2" w14:textId="77777777" w:rsidR="008B2105" w:rsidRPr="002221DA" w:rsidRDefault="008B2105" w:rsidP="006966E8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17DB3FD6" wp14:editId="512CBC39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14:paraId="517F9A7D" w14:textId="77777777" w:rsidR="008B2105" w:rsidRPr="002221DA" w:rsidRDefault="008B2105" w:rsidP="006966E8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14:paraId="27568CF2" w14:textId="77777777"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14:paraId="3E69EA18" w14:textId="77777777"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14:paraId="00466DD2" w14:textId="77777777"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14:paraId="28EFAF43" w14:textId="77777777" w:rsidR="008B2105" w:rsidRPr="002221DA" w:rsidRDefault="00851D8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8B2105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8B2105"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8B2105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8B2105"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14:paraId="0E2369FF" w14:textId="77777777"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8B2105" w:rsidRPr="002221DA" w14:paraId="27A7131D" w14:textId="77777777" w:rsidTr="006966E8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14:paraId="21BB3068" w14:textId="77777777" w:rsidR="008B2105" w:rsidRPr="002221DA" w:rsidRDefault="008B2105" w:rsidP="006966E8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14:paraId="253CC6E5" w14:textId="77777777" w:rsidR="008B2105" w:rsidRPr="002221DA" w:rsidRDefault="008B2105" w:rsidP="006966E8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14:paraId="4F9503CB" w14:textId="77777777" w:rsidR="008B2105" w:rsidRPr="002221DA" w:rsidRDefault="00386B99" w:rsidP="008B2105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  <w:r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c</w:t>
      </w:r>
      <w:r w:rsidR="008B2105" w:rsidRPr="002221DA"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omunicado de prensa</w:t>
      </w:r>
    </w:p>
    <w:p w14:paraId="22BF6ECB" w14:textId="1F8B49D9" w:rsidR="008B2105" w:rsidRDefault="008B2105" w:rsidP="0074159C">
      <w:pPr>
        <w:rPr>
          <w:rFonts w:ascii="Arial" w:hAnsi="Arial" w:cs="Arial"/>
          <w:b/>
          <w:sz w:val="28"/>
          <w:szCs w:val="24"/>
        </w:rPr>
      </w:pPr>
    </w:p>
    <w:p w14:paraId="3D9CCDB8" w14:textId="264810D6" w:rsidR="00CC6D0D" w:rsidRPr="00D82A22" w:rsidRDefault="00CC6D0D" w:rsidP="0074159C">
      <w:pPr>
        <w:rPr>
          <w:rFonts w:ascii="Arial" w:hAnsi="Arial" w:cs="Arial"/>
          <w:b/>
          <w:sz w:val="32"/>
          <w:szCs w:val="32"/>
        </w:rPr>
      </w:pPr>
      <w:r w:rsidRPr="00D82A22">
        <w:rPr>
          <w:rFonts w:ascii="Arial" w:hAnsi="Arial" w:cs="Arial"/>
          <w:b/>
          <w:sz w:val="32"/>
          <w:szCs w:val="32"/>
        </w:rPr>
        <w:t>CAMTIC apoya la Ley de Cine, pero sin nuevos impuestos</w:t>
      </w:r>
    </w:p>
    <w:p w14:paraId="0BE78043" w14:textId="77777777" w:rsidR="005245CD" w:rsidRDefault="005245CD" w:rsidP="00CC6D0D">
      <w:pPr>
        <w:rPr>
          <w:rFonts w:ascii="Arial" w:hAnsi="Arial" w:cs="Arial"/>
          <w:sz w:val="24"/>
          <w:szCs w:val="24"/>
        </w:rPr>
      </w:pPr>
    </w:p>
    <w:p w14:paraId="52FA988C" w14:textId="77777777" w:rsidR="00CC6D0D" w:rsidRPr="00CC6D0D" w:rsidRDefault="00386B99" w:rsidP="00CC6D0D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bookmarkStart w:id="0" w:name="_GoBack"/>
      <w:bookmarkEnd w:id="0"/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 w:rsidR="00CC6D0D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6 de noviembre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, 2019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|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</w:t>
      </w:r>
      <w:r w:rsidR="00CC6D0D"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La Cámara de Tecnologías de Información y Comunicación (CAMTIC) ha gestionado por más de año y medio, un proceso de negociación, ajuste y estructuración de una Ley de Cine que brinde seguridad jurídica al sector audiovisual costarricense, y permita generar incentivos a la industria, tal y como ya lo hacen los países que ostentan las mejoras prácticas a nivel internacional.</w:t>
      </w:r>
    </w:p>
    <w:p w14:paraId="72BB2113" w14:textId="7505E693" w:rsidR="00CC6D0D" w:rsidRPr="00CC6D0D" w:rsidRDefault="00CC6D0D" w:rsidP="00CC6D0D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Sin embargo, la adición de un impuesto particular del 1.5% al actual proyecto de ley de Cinematografía y Audiovisual, que se </w:t>
      </w:r>
      <w:r w:rsid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tramita</w:t>
      </w: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bajo el expediente N°20.661 en la Asamblea Legislativa</w:t>
      </w:r>
      <w:r w:rsid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y fue aprobado</w:t>
      </w:r>
      <w:r w:rsidR="00DE1D41" w:rsidRP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por la </w:t>
      </w:r>
      <w:r w:rsid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c</w:t>
      </w:r>
      <w:r w:rsidR="00DE1D41" w:rsidRP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omisión de Ciencia y Tecnología</w:t>
      </w:r>
      <w:r w:rsid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, </w:t>
      </w: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generará un impacto negativo en la posibilidad de acceso a la cultura por parte los costarricenses y afectará la generación de modelos de negocios novedosos que permitan ofrecer variedad de bienes culturales a través de una misma plataforma.</w:t>
      </w:r>
    </w:p>
    <w:p w14:paraId="0FF0DD87" w14:textId="039F61F1" w:rsidR="00CC6D0D" w:rsidRPr="00CC6D0D" w:rsidRDefault="00D82A22" w:rsidP="00CC6D0D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Según explicó el director ejecutivo de </w:t>
      </w:r>
      <w:r w:rsidR="00CC6D0D"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CAMTIC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, Christian Sánchez Alcázar,</w:t>
      </w:r>
      <w:r w:rsidR="00CC6D0D"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la cámara </w:t>
      </w:r>
      <w:r w:rsidR="00CC6D0D"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ha recomendado insistentemente la generación de un modelo que permita incentivar el acceso a la cultura a través de exenciones de impuestos o incentivos a producciones cinematográficas locales. </w:t>
      </w:r>
    </w:p>
    <w:p w14:paraId="266F2ED4" w14:textId="7E6B8C3C" w:rsidR="00CC6D0D" w:rsidRPr="00CC6D0D" w:rsidRDefault="00CC6D0D" w:rsidP="00CC6D0D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La propuesta de </w:t>
      </w:r>
      <w:r w:rsid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CAMTIC</w:t>
      </w: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se encuentra amparada en la experiencia de países que tienen una industria cinematográfica y audiovisual consolidada, basada en estas buenas prácticas. 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Esta </w:t>
      </w: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experiencia demuestra que un sistema basado en incentivos traería consigo un efecto multiplicador en otras industrias locales como alimentos, hoteles, contratación y/o compra de equipo de filmación y servicios profesionales, entre </w:t>
      </w:r>
      <w:r w:rsidR="00793160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muchos </w:t>
      </w: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otros. </w:t>
      </w:r>
    </w:p>
    <w:p w14:paraId="2460257F" w14:textId="28783EE4" w:rsidR="00793160" w:rsidRPr="00DE1D41" w:rsidRDefault="00DE1D41" w:rsidP="00CC6D0D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 w:rsidRP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Este impuesto específico </w:t>
      </w: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del 1.5%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,</w:t>
      </w:r>
      <w:r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</w:t>
      </w:r>
      <w:r w:rsidRP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en momentos de contracción de la economía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, </w:t>
      </w:r>
      <w:r w:rsidR="00CC6D0D" w:rsidRPr="00CC6D0D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tendría a todas luces un efecto contrario e impediría democratizar el acceso a contenidos culturales cada vez más reservados a grupos con un poder adquisitivo mayor.</w:t>
      </w:r>
    </w:p>
    <w:p w14:paraId="1CA391FA" w14:textId="09E153FF" w:rsidR="00D82A22" w:rsidRPr="00D82A22" w:rsidRDefault="00D82A22" w:rsidP="00CC6D0D">
      <w:pPr>
        <w:rPr>
          <w:rFonts w:ascii="Arial" w:eastAsia="MS Mincho" w:hAnsi="Arial" w:cs="Arial"/>
          <w:b/>
          <w:spacing w:val="-5"/>
          <w:sz w:val="24"/>
          <w:szCs w:val="24"/>
          <w:lang w:eastAsia="es-ES_tradnl" w:bidi="es-ES"/>
        </w:rPr>
      </w:pPr>
      <w:r w:rsidRPr="00D82A22">
        <w:rPr>
          <w:rFonts w:ascii="Arial" w:eastAsia="MS Mincho" w:hAnsi="Arial" w:cs="Arial"/>
          <w:b/>
          <w:spacing w:val="-5"/>
          <w:sz w:val="24"/>
          <w:szCs w:val="24"/>
          <w:lang w:eastAsia="es-ES_tradnl" w:bidi="es-ES"/>
        </w:rPr>
        <w:lastRenderedPageBreak/>
        <w:t>Ambigüedades</w:t>
      </w:r>
    </w:p>
    <w:p w14:paraId="5CA6CA43" w14:textId="21A8D7E8" w:rsidR="00D82A22" w:rsidRDefault="00D82A22" w:rsidP="00D82A22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Sánchez Alcázar detalló que existen además ambigüedades y mecanismos dentro del proyecto de ley que requieren </w:t>
      </w:r>
      <w:r w:rsidR="00793160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de una mejora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. </w:t>
      </w:r>
    </w:p>
    <w:p w14:paraId="283923A8" w14:textId="656F9680" w:rsidR="00D82A22" w:rsidRPr="00D82A22" w:rsidRDefault="00D82A22" w:rsidP="00D82A22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Por ejemplo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, el concepto asociado de “audiovisual” es utilizado con gran ambigüedad, lo que abre un espacio a la libre interpretación y a la extensión de la base imponible a otros segmentos de la industria, ya de por sí, afectados en demasía por la reforma fiscal y las todavía ausentes medidas de reactivación económica que el país requiere para mejorar sus finanzas. </w:t>
      </w:r>
    </w:p>
    <w:p w14:paraId="0A6BF603" w14:textId="717DB140" w:rsidR="00D82A22" w:rsidRPr="00D82A22" w:rsidRDefault="00D82A22" w:rsidP="00D82A22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“C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ontenido audiovisual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”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podría entenders</w:t>
      </w:r>
      <w:r w:rsidR="00793160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e como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todo tipo de bienes culturales que se consuman 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en línea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a través de una misma plataforma o tienda </w:t>
      </w:r>
      <w:r w:rsidRPr="00D82A22">
        <w:rPr>
          <w:rFonts w:ascii="Arial" w:eastAsia="MS Mincho" w:hAnsi="Arial" w:cs="Arial"/>
          <w:bCs/>
          <w:i/>
          <w:iCs/>
          <w:spacing w:val="-5"/>
          <w:sz w:val="24"/>
          <w:szCs w:val="24"/>
          <w:lang w:eastAsia="es-ES_tradnl" w:bidi="es-ES"/>
        </w:rPr>
        <w:t>online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, entre ellos, por ejemplo, música, videojuegos, </w:t>
      </w:r>
      <w:r w:rsidRPr="00D82A22">
        <w:rPr>
          <w:rFonts w:ascii="Arial" w:eastAsia="MS Mincho" w:hAnsi="Arial" w:cs="Arial"/>
          <w:bCs/>
          <w:i/>
          <w:iCs/>
          <w:spacing w:val="-5"/>
          <w:sz w:val="24"/>
          <w:szCs w:val="24"/>
          <w:lang w:eastAsia="es-ES_tradnl" w:bidi="es-ES"/>
        </w:rPr>
        <w:t>e-</w:t>
      </w:r>
      <w:proofErr w:type="spellStart"/>
      <w:r w:rsidRPr="00D82A22">
        <w:rPr>
          <w:rFonts w:ascii="Arial" w:eastAsia="MS Mincho" w:hAnsi="Arial" w:cs="Arial"/>
          <w:bCs/>
          <w:i/>
          <w:iCs/>
          <w:spacing w:val="-5"/>
          <w:sz w:val="24"/>
          <w:szCs w:val="24"/>
          <w:lang w:eastAsia="es-ES_tradnl" w:bidi="es-ES"/>
        </w:rPr>
        <w:t>books</w:t>
      </w:r>
      <w:proofErr w:type="spellEnd"/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o </w:t>
      </w:r>
      <w:r w:rsidRPr="00D82A22">
        <w:rPr>
          <w:rFonts w:ascii="Arial" w:eastAsia="MS Mincho" w:hAnsi="Arial" w:cs="Arial"/>
          <w:bCs/>
          <w:i/>
          <w:iCs/>
          <w:spacing w:val="-5"/>
          <w:sz w:val="24"/>
          <w:szCs w:val="24"/>
          <w:lang w:eastAsia="es-ES_tradnl" w:bidi="es-ES"/>
        </w:rPr>
        <w:t>audio-</w:t>
      </w:r>
      <w:proofErr w:type="spellStart"/>
      <w:r w:rsidRPr="00D82A22">
        <w:rPr>
          <w:rFonts w:ascii="Arial" w:eastAsia="MS Mincho" w:hAnsi="Arial" w:cs="Arial"/>
          <w:bCs/>
          <w:i/>
          <w:iCs/>
          <w:spacing w:val="-5"/>
          <w:sz w:val="24"/>
          <w:szCs w:val="24"/>
          <w:lang w:eastAsia="es-ES_tradnl" w:bidi="es-ES"/>
        </w:rPr>
        <w:t>books</w:t>
      </w:r>
      <w:proofErr w:type="spellEnd"/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, hasta aplicaciones en general.</w:t>
      </w:r>
    </w:p>
    <w:p w14:paraId="6AC99173" w14:textId="4D73E7C1" w:rsidR="00D82A22" w:rsidRPr="00D82A22" w:rsidRDefault="00D82A22" w:rsidP="00D82A22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En cuanto a los mecanismos de retención, </w:t>
      </w:r>
      <w: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expresó Sánchez Alcázar, 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es indispensable mencionar que, dada la vaguedad establecida en el texto, no sería posible discriminar entre distintos tipos de contenido que un usuario consume a través de plataformas que los ofrecen en un mismo lugar o </w:t>
      </w:r>
      <w:r w:rsidR="00793160">
        <w:rPr>
          <w:rFonts w:ascii="Arial" w:eastAsia="MS Mincho" w:hAnsi="Arial" w:cs="Arial"/>
          <w:bCs/>
          <w:i/>
          <w:iCs/>
          <w:spacing w:val="-5"/>
          <w:sz w:val="24"/>
          <w:szCs w:val="24"/>
          <w:lang w:eastAsia="es-ES_tradnl" w:bidi="es-ES"/>
        </w:rPr>
        <w:t>Marketplace.</w:t>
      </w:r>
    </w:p>
    <w:p w14:paraId="496AD511" w14:textId="758FE244" w:rsidR="00D82A22" w:rsidRPr="00D82A22" w:rsidRDefault="00D82A22" w:rsidP="00D82A22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Por otro lado, </w:t>
      </w:r>
      <w:r w:rsidR="00793160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existen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servicios </w:t>
      </w:r>
      <w:r w:rsidR="00793160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que 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ofrecen el acceso a varios tipos de bienes a través de un mismo costo de suscripción. Esto podría resultar en que se terminase gravando la oferta de servicios digitales en general.</w:t>
      </w:r>
    </w:p>
    <w:p w14:paraId="227CBD0D" w14:textId="27476A00" w:rsidR="00D82A22" w:rsidRPr="00D82A22" w:rsidRDefault="00D82A22" w:rsidP="00D82A22">
      <w:pPr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</w:pP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En los momentos más acuciantes a los cuales estamos asistiendo como sociedad, </w:t>
      </w:r>
      <w:r w:rsid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reconocemos la necesidad de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potenciar, facilitar</w:t>
      </w:r>
      <w:r w:rsid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y</w:t>
      </w:r>
      <w:r w:rsidRPr="00D82A22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resaltar el talento de nuestros empresarios, guionistas, actores y demás subsectores productivos que aportan de forma transversal al desarrollo de la economía nacional en su conjunto</w:t>
      </w:r>
      <w:r w:rsid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,</w:t>
      </w:r>
      <w:r w:rsidR="00793160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 xml:space="preserve"> </w:t>
      </w:r>
      <w:r w:rsidR="00DE1D41" w:rsidRPr="00DE1D41">
        <w:rPr>
          <w:rFonts w:ascii="Arial" w:eastAsia="MS Mincho" w:hAnsi="Arial" w:cs="Arial"/>
          <w:bCs/>
          <w:spacing w:val="-5"/>
          <w:sz w:val="24"/>
          <w:szCs w:val="24"/>
          <w:lang w:eastAsia="es-ES_tradnl" w:bidi="es-ES"/>
        </w:rPr>
        <w:t>pero no gravando otros sectores que igualmente tienen un aporte muy importante y que ya se han visto gravados con el 13% del impuesto al valor agregado.</w:t>
      </w:r>
    </w:p>
    <w:p w14:paraId="7C64A47A" w14:textId="77777777" w:rsidR="00386B99" w:rsidRPr="002221DA" w:rsidRDefault="00851D85" w:rsidP="00386B99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 w14:anchorId="3C3DBB7C">
          <v:rect id="_x0000_i1025" style="width:0;height:1.5pt" o:hralign="center" o:hrstd="t" o:hr="t" fillcolor="#aaa" stroked="f"/>
        </w:pict>
      </w:r>
    </w:p>
    <w:p w14:paraId="3C06E6B7" w14:textId="77777777" w:rsidR="00386B99" w:rsidRPr="002221DA" w:rsidRDefault="00386B99" w:rsidP="00386B99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14:paraId="6FCDC0D6" w14:textId="77777777" w:rsidR="00386B99" w:rsidRPr="002221DA" w:rsidRDefault="00386B99" w:rsidP="00386B99">
      <w:pPr>
        <w:rPr>
          <w:lang w:val="es-ES_tradnl"/>
        </w:rPr>
      </w:pPr>
    </w:p>
    <w:p w14:paraId="436BC116" w14:textId="77777777" w:rsidR="000C7BE3" w:rsidRPr="00386B99" w:rsidRDefault="000C7BE3">
      <w:pPr>
        <w:rPr>
          <w:lang w:val="es-ES_tradnl"/>
        </w:rPr>
      </w:pPr>
    </w:p>
    <w:sectPr w:rsidR="000C7BE3" w:rsidRPr="00386B99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400FB" w14:textId="77777777" w:rsidR="00851D85" w:rsidRDefault="00851D85" w:rsidP="00386B99">
      <w:pPr>
        <w:spacing w:after="0" w:line="240" w:lineRule="auto"/>
      </w:pPr>
      <w:r>
        <w:separator/>
      </w:r>
    </w:p>
  </w:endnote>
  <w:endnote w:type="continuationSeparator" w:id="0">
    <w:p w14:paraId="5855034B" w14:textId="77777777" w:rsidR="00851D85" w:rsidRDefault="00851D85" w:rsidP="0038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492FC" w14:textId="77777777" w:rsidR="00851D85" w:rsidRDefault="00851D85" w:rsidP="00386B99">
      <w:pPr>
        <w:spacing w:after="0" w:line="240" w:lineRule="auto"/>
      </w:pPr>
      <w:r>
        <w:separator/>
      </w:r>
    </w:p>
  </w:footnote>
  <w:footnote w:type="continuationSeparator" w:id="0">
    <w:p w14:paraId="2DB9B613" w14:textId="77777777" w:rsidR="00851D85" w:rsidRDefault="00851D85" w:rsidP="0038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F4672" w14:textId="22739D9A" w:rsidR="00386B99" w:rsidRDefault="00386B99">
    <w:pPr>
      <w:pStyle w:val="Encabezado"/>
    </w:pPr>
    <w:r w:rsidRPr="002221DA">
      <w:rPr>
        <w:rFonts w:ascii="Arial" w:hAnsi="Arial" w:cs="Arial"/>
        <w:color w:val="7F7F7F"/>
        <w:sz w:val="16"/>
        <w:szCs w:val="16"/>
      </w:rPr>
      <w:t>COMUNICADO |</w:t>
    </w:r>
    <w:r>
      <w:rPr>
        <w:rFonts w:ascii="Arial" w:hAnsi="Arial" w:cs="Arial"/>
        <w:color w:val="7F7F7F"/>
        <w:sz w:val="16"/>
        <w:szCs w:val="16"/>
      </w:rPr>
      <w:t xml:space="preserve"> </w:t>
    </w:r>
    <w:r w:rsidRPr="00386B99">
      <w:rPr>
        <w:rFonts w:ascii="Arial" w:hAnsi="Arial" w:cs="Arial"/>
        <w:color w:val="7F7F7F"/>
        <w:sz w:val="16"/>
        <w:szCs w:val="16"/>
      </w:rPr>
      <w:t xml:space="preserve">CAMTIC </w:t>
    </w:r>
    <w:r w:rsidR="00CC6D0D">
      <w:rPr>
        <w:rFonts w:ascii="Arial" w:hAnsi="Arial" w:cs="Arial"/>
        <w:color w:val="7F7F7F"/>
        <w:sz w:val="16"/>
        <w:szCs w:val="16"/>
      </w:rPr>
      <w:t>a</w:t>
    </w:r>
    <w:r w:rsidR="00CC6D0D" w:rsidRPr="00CC6D0D">
      <w:rPr>
        <w:rFonts w:ascii="Arial" w:hAnsi="Arial" w:cs="Arial"/>
        <w:color w:val="7F7F7F"/>
        <w:sz w:val="16"/>
        <w:szCs w:val="16"/>
      </w:rPr>
      <w:t>poya la Ley de Cine, pero sin nuevos impuestos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54D2"/>
    <w:multiLevelType w:val="hybridMultilevel"/>
    <w:tmpl w:val="63FC3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4781"/>
    <w:multiLevelType w:val="hybridMultilevel"/>
    <w:tmpl w:val="78ACC76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1C42"/>
    <w:multiLevelType w:val="hybridMultilevel"/>
    <w:tmpl w:val="A8B23A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324E"/>
    <w:multiLevelType w:val="hybridMultilevel"/>
    <w:tmpl w:val="2870BA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843"/>
    <w:multiLevelType w:val="hybridMultilevel"/>
    <w:tmpl w:val="E60630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D6C48"/>
    <w:multiLevelType w:val="hybridMultilevel"/>
    <w:tmpl w:val="9234562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9C"/>
    <w:rsid w:val="00051B71"/>
    <w:rsid w:val="000A7F1B"/>
    <w:rsid w:val="000C5390"/>
    <w:rsid w:val="000C7BE3"/>
    <w:rsid w:val="00247BB1"/>
    <w:rsid w:val="002A6873"/>
    <w:rsid w:val="00386B99"/>
    <w:rsid w:val="003F4F0D"/>
    <w:rsid w:val="004C064A"/>
    <w:rsid w:val="0050789E"/>
    <w:rsid w:val="005245CD"/>
    <w:rsid w:val="005673CB"/>
    <w:rsid w:val="005A48B7"/>
    <w:rsid w:val="005C2A02"/>
    <w:rsid w:val="005D1A10"/>
    <w:rsid w:val="005D6FDD"/>
    <w:rsid w:val="006229D4"/>
    <w:rsid w:val="0067518E"/>
    <w:rsid w:val="0074159C"/>
    <w:rsid w:val="0076016B"/>
    <w:rsid w:val="00762E62"/>
    <w:rsid w:val="00793160"/>
    <w:rsid w:val="007C4FDE"/>
    <w:rsid w:val="00846EB9"/>
    <w:rsid w:val="00851D85"/>
    <w:rsid w:val="00890DCC"/>
    <w:rsid w:val="008B2105"/>
    <w:rsid w:val="00915C33"/>
    <w:rsid w:val="00A00A54"/>
    <w:rsid w:val="00C81246"/>
    <w:rsid w:val="00CC6D0D"/>
    <w:rsid w:val="00D21887"/>
    <w:rsid w:val="00D53AB3"/>
    <w:rsid w:val="00D82A22"/>
    <w:rsid w:val="00DE1D41"/>
    <w:rsid w:val="00E03D76"/>
    <w:rsid w:val="00E1653E"/>
    <w:rsid w:val="00F05FD8"/>
    <w:rsid w:val="00F36264"/>
    <w:rsid w:val="00F823D8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A1045"/>
  <w15:chartTrackingRefBased/>
  <w15:docId w15:val="{348A940F-8757-4552-B0D3-F997C246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5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15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15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C4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F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F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F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FDE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62E62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62E6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1"/>
    <w:rsid w:val="008B2105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8B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6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B99"/>
  </w:style>
  <w:style w:type="paragraph" w:styleId="Piedepgina">
    <w:name w:val="footer"/>
    <w:basedOn w:val="Normal"/>
    <w:link w:val="PiedepginaCar"/>
    <w:uiPriority w:val="99"/>
    <w:unhideWhenUsed/>
    <w:rsid w:val="00386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B99"/>
  </w:style>
  <w:style w:type="paragraph" w:styleId="NormalWeb">
    <w:name w:val="Normal (Web)"/>
    <w:basedOn w:val="Normal"/>
    <w:uiPriority w:val="99"/>
    <w:semiHidden/>
    <w:unhideWhenUsed/>
    <w:rsid w:val="00E1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mt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Sanchez</dc:creator>
  <cp:keywords/>
  <dc:description/>
  <cp:lastModifiedBy>Silvia Castillo Nieto</cp:lastModifiedBy>
  <cp:revision>7</cp:revision>
  <cp:lastPrinted>2019-04-08T17:34:00Z</cp:lastPrinted>
  <dcterms:created xsi:type="dcterms:W3CDTF">2019-11-06T16:03:00Z</dcterms:created>
  <dcterms:modified xsi:type="dcterms:W3CDTF">2019-11-06T21:18:00Z</dcterms:modified>
</cp:coreProperties>
</file>